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auto"/>
          <w:sz w:val="72"/>
          <w:szCs w:val="72"/>
          <w:highlight w:val="none"/>
        </w:rPr>
      </w:pPr>
      <w:bookmarkStart w:id="0" w:name="_Toc15306267"/>
    </w:p>
    <w:p>
      <w:pPr>
        <w:spacing w:line="600" w:lineRule="exact"/>
        <w:jc w:val="center"/>
        <w:outlineLvl w:val="0"/>
        <w:rPr>
          <w:rFonts w:ascii="方正小标宋简体" w:hAnsi="宋体" w:eastAsia="方正小标宋简体"/>
          <w:color w:val="auto"/>
          <w:sz w:val="72"/>
          <w:szCs w:val="72"/>
          <w:highlight w:val="none"/>
        </w:rPr>
      </w:pPr>
    </w:p>
    <w:p>
      <w:pPr>
        <w:spacing w:line="600" w:lineRule="exact"/>
        <w:jc w:val="center"/>
        <w:outlineLvl w:val="0"/>
        <w:rPr>
          <w:rFonts w:ascii="方正小标宋简体" w:hAnsi="宋体" w:eastAsia="方正小标宋简体"/>
          <w:color w:val="auto"/>
          <w:sz w:val="72"/>
          <w:szCs w:val="72"/>
          <w:highlight w:val="none"/>
        </w:rPr>
      </w:pPr>
    </w:p>
    <w:p>
      <w:pPr>
        <w:spacing w:line="600" w:lineRule="exact"/>
        <w:jc w:val="center"/>
        <w:outlineLvl w:val="0"/>
        <w:rPr>
          <w:rFonts w:ascii="方正小标宋简体" w:hAnsi="宋体" w:eastAsia="方正小标宋简体"/>
          <w:color w:val="auto"/>
          <w:sz w:val="72"/>
          <w:szCs w:val="72"/>
          <w:highlight w:val="none"/>
        </w:rPr>
      </w:pPr>
    </w:p>
    <w:p>
      <w:pPr>
        <w:adjustRightInd w:val="0"/>
        <w:snapToGrid w:val="0"/>
        <w:spacing w:line="360" w:lineRule="auto"/>
        <w:jc w:val="center"/>
        <w:outlineLvl w:val="0"/>
        <w:rPr>
          <w:rFonts w:ascii="方正小标宋简体" w:hAnsi="宋体" w:eastAsia="方正小标宋简体"/>
          <w:color w:val="auto"/>
          <w:sz w:val="72"/>
          <w:szCs w:val="72"/>
          <w:highlight w:val="none"/>
        </w:rPr>
      </w:pPr>
      <w:bookmarkStart w:id="1" w:name="_Toc15378441"/>
      <w:bookmarkStart w:id="2" w:name="_Toc15377425"/>
      <w:bookmarkStart w:id="3" w:name="_Toc15396475"/>
      <w:bookmarkStart w:id="4" w:name="_Toc15396597"/>
      <w:bookmarkStart w:id="5" w:name="_Toc15377193"/>
      <w:r>
        <w:rPr>
          <w:rFonts w:ascii="黑体" w:hAnsi="黑体" w:eastAsia="黑体"/>
          <w:color w:val="auto"/>
          <w:sz w:val="72"/>
          <w:szCs w:val="72"/>
          <w:highlight w:val="none"/>
        </w:rPr>
        <w:t>20</w:t>
      </w:r>
      <w:r>
        <w:rPr>
          <w:rFonts w:hint="eastAsia" w:ascii="黑体" w:hAnsi="黑体" w:eastAsia="黑体"/>
          <w:color w:val="auto"/>
          <w:sz w:val="72"/>
          <w:szCs w:val="72"/>
          <w:highlight w:val="none"/>
          <w:lang w:val="en-US" w:eastAsia="zh-CN"/>
        </w:rPr>
        <w:t>20</w:t>
      </w:r>
      <w:r>
        <w:rPr>
          <w:rFonts w:hint="eastAsia" w:ascii="方正小标宋简体" w:hAnsi="宋体" w:eastAsia="方正小标宋简体"/>
          <w:color w:val="auto"/>
          <w:sz w:val="72"/>
          <w:szCs w:val="72"/>
          <w:highlight w:val="none"/>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color w:val="auto"/>
          <w:sz w:val="72"/>
          <w:szCs w:val="72"/>
          <w:highlight w:val="none"/>
        </w:rPr>
      </w:pPr>
      <w:bookmarkStart w:id="6" w:name="_Toc15378442"/>
      <w:bookmarkStart w:id="7" w:name="_Toc15377426"/>
      <w:bookmarkStart w:id="8" w:name="_Toc15396476"/>
      <w:bookmarkStart w:id="9" w:name="_Toc15396598"/>
      <w:bookmarkStart w:id="10" w:name="_Toc15377194"/>
      <w:r>
        <w:rPr>
          <w:rFonts w:hint="eastAsia" w:ascii="方正小标宋简体" w:hAnsi="宋体" w:eastAsia="方正小标宋简体"/>
          <w:color w:val="auto"/>
          <w:sz w:val="72"/>
          <w:szCs w:val="72"/>
          <w:highlight w:val="none"/>
        </w:rPr>
        <w:t>泸州市</w:t>
      </w:r>
      <w:r>
        <w:rPr>
          <w:rFonts w:hint="eastAsia" w:ascii="方正小标宋简体" w:hAnsi="宋体" w:eastAsia="方正小标宋简体"/>
          <w:color w:val="auto"/>
          <w:sz w:val="72"/>
          <w:szCs w:val="72"/>
          <w:highlight w:val="none"/>
          <w:lang w:eastAsia="zh-CN"/>
        </w:rPr>
        <w:t>市</w:t>
      </w:r>
      <w:r>
        <w:rPr>
          <w:rFonts w:hint="eastAsia" w:ascii="方正小标宋简体" w:hAnsi="宋体" w:eastAsia="方正小标宋简体"/>
          <w:color w:val="auto"/>
          <w:sz w:val="72"/>
          <w:szCs w:val="72"/>
          <w:highlight w:val="none"/>
        </w:rPr>
        <w:t>级</w:t>
      </w:r>
      <w:bookmarkEnd w:id="0"/>
      <w:bookmarkStart w:id="11" w:name="_Toc15306268"/>
      <w:r>
        <w:rPr>
          <w:rFonts w:hint="eastAsia" w:ascii="方正小标宋简体" w:hAnsi="宋体" w:eastAsia="方正小标宋简体"/>
          <w:color w:val="auto"/>
          <w:sz w:val="72"/>
          <w:szCs w:val="72"/>
          <w:highlight w:val="none"/>
        </w:rPr>
        <w:t>泸州市中医医院部门决算</w:t>
      </w:r>
      <w:bookmarkEnd w:id="6"/>
      <w:bookmarkEnd w:id="7"/>
      <w:bookmarkEnd w:id="8"/>
      <w:bookmarkEnd w:id="9"/>
      <w:bookmarkEnd w:id="10"/>
      <w:bookmarkEnd w:id="11"/>
    </w:p>
    <w:p>
      <w:pPr>
        <w:widowControl/>
        <w:jc w:val="center"/>
        <w:rPr>
          <w:rFonts w:ascii="黑体" w:hAnsi="黑体" w:eastAsia="黑体" w:cs="黑体"/>
          <w:color w:val="auto"/>
          <w:sz w:val="28"/>
          <w:szCs w:val="28"/>
          <w:highlight w:val="none"/>
        </w:rPr>
      </w:pPr>
      <w:r>
        <w:rPr>
          <w:rFonts w:ascii="方正小标宋简体" w:hAnsi="宋体" w:eastAsia="方正小标宋简体"/>
          <w:color w:val="auto"/>
          <w:sz w:val="36"/>
          <w:szCs w:val="36"/>
          <w:highlight w:val="none"/>
        </w:rPr>
        <w:br w:type="page"/>
      </w:r>
      <w:r>
        <w:rPr>
          <w:rFonts w:hint="eastAsia" w:ascii="黑体" w:hAnsi="黑体" w:eastAsia="黑体"/>
          <w:color w:val="auto"/>
          <w:sz w:val="48"/>
          <w:szCs w:val="48"/>
          <w:highlight w:val="none"/>
        </w:rPr>
        <w:t>目录</w:t>
      </w:r>
    </w:p>
    <w:p>
      <w:pPr>
        <w:pStyle w:val="10"/>
        <w:rPr>
          <w:color w:val="auto"/>
          <w:highlight w:val="none"/>
        </w:rPr>
      </w:pPr>
    </w:p>
    <w:p>
      <w:pPr>
        <w:pStyle w:val="10"/>
        <w:rPr>
          <w:color w:val="auto"/>
          <w:highlight w:val="none"/>
        </w:rPr>
      </w:pPr>
      <w:r>
        <w:rPr>
          <w:rFonts w:hint="eastAsia"/>
          <w:color w:val="auto"/>
          <w:highlight w:val="none"/>
        </w:rPr>
        <w:t>公开时间：202</w:t>
      </w:r>
      <w:r>
        <w:rPr>
          <w:rFonts w:hint="eastAsia"/>
          <w:color w:val="auto"/>
          <w:highlight w:val="none"/>
          <w:lang w:val="en-US" w:eastAsia="zh-CN"/>
        </w:rPr>
        <w:t>1</w:t>
      </w:r>
      <w:r>
        <w:rPr>
          <w:rFonts w:hint="eastAsia"/>
          <w:color w:val="auto"/>
          <w:highlight w:val="none"/>
        </w:rPr>
        <w:t>年9月24日</w:t>
      </w:r>
      <w:bookmarkStart w:id="12" w:name="_Toc15396599"/>
      <w:bookmarkStart w:id="13" w:name="_Toc15377196"/>
    </w:p>
    <w:p>
      <w:pPr>
        <w:pStyle w:val="10"/>
        <w:adjustRightInd w:val="0"/>
        <w:snapToGrid w:val="0"/>
        <w:spacing w:before="0" w:line="600" w:lineRule="exact"/>
        <w:jc w:val="left"/>
        <w:rPr>
          <w:color w:val="auto"/>
          <w:sz w:val="24"/>
          <w:highlight w:val="none"/>
        </w:rPr>
      </w:pPr>
    </w:p>
    <w:p>
      <w:pPr>
        <w:pStyle w:val="10"/>
        <w:widowControl w:val="0"/>
        <w:wordWrap/>
        <w:adjustRightInd w:val="0"/>
        <w:snapToGrid w:val="0"/>
        <w:spacing w:before="0" w:line="600" w:lineRule="exact"/>
        <w:ind w:right="0"/>
        <w:jc w:val="left"/>
        <w:textAlignment w:val="auto"/>
        <w:outlineLvl w:val="9"/>
        <w:rPr>
          <w:sz w:val="28"/>
          <w:szCs w:val="28"/>
        </w:rPr>
      </w:pPr>
      <w:r>
        <w:rPr>
          <w:rFonts w:hint="eastAsia"/>
          <w:sz w:val="28"/>
          <w:szCs w:val="28"/>
        </w:rPr>
        <w:t>第一部分</w:t>
      </w:r>
      <w:r>
        <w:rPr>
          <w:sz w:val="28"/>
          <w:szCs w:val="28"/>
        </w:rPr>
        <w:t xml:space="preserve"> </w:t>
      </w:r>
      <w:r>
        <w:rPr>
          <w:rFonts w:hint="eastAsia"/>
          <w:sz w:val="28"/>
          <w:szCs w:val="28"/>
        </w:rPr>
        <w:t>部门概况</w:t>
      </w:r>
      <w:r>
        <w:rPr>
          <w:rFonts w:hint="eastAsia"/>
          <w:sz w:val="28"/>
          <w:szCs w:val="28"/>
          <w:lang w:eastAsia="zh-CN"/>
        </w:rPr>
        <w:t>……………………………………………………</w:t>
      </w:r>
      <w:r>
        <w:rPr>
          <w:rFonts w:hint="eastAsia"/>
          <w:sz w:val="28"/>
          <w:szCs w:val="28"/>
          <w:lang w:val="en-US" w:eastAsia="zh-CN"/>
        </w:rPr>
        <w:t>4</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一、基本职能及主要工作</w:t>
      </w:r>
      <w:r>
        <w:rPr>
          <w:rFonts w:hint="eastAsia"/>
          <w:sz w:val="28"/>
          <w:szCs w:val="28"/>
          <w:lang w:eastAsia="zh-CN"/>
        </w:rPr>
        <w:t>…………………………………………</w:t>
      </w:r>
      <w:r>
        <w:rPr>
          <w:rFonts w:hint="eastAsia"/>
          <w:sz w:val="28"/>
          <w:szCs w:val="28"/>
          <w:lang w:val="en-US" w:eastAsia="zh-CN"/>
        </w:rPr>
        <w:t>4</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二、机构设置</w:t>
      </w:r>
      <w:r>
        <w:rPr>
          <w:rFonts w:hint="eastAsia"/>
          <w:sz w:val="28"/>
          <w:szCs w:val="28"/>
          <w:lang w:eastAsia="zh-CN"/>
        </w:rPr>
        <w:t>………………………………………………………</w:t>
      </w:r>
      <w:r>
        <w:rPr>
          <w:rFonts w:hint="eastAsia"/>
          <w:sz w:val="28"/>
          <w:szCs w:val="28"/>
          <w:lang w:val="en-US" w:eastAsia="zh-CN"/>
        </w:rPr>
        <w:t>6</w:t>
      </w:r>
    </w:p>
    <w:p>
      <w:pPr>
        <w:pStyle w:val="10"/>
        <w:widowControl w:val="0"/>
        <w:wordWrap/>
        <w:adjustRightInd w:val="0"/>
        <w:snapToGrid w:val="0"/>
        <w:spacing w:before="0" w:line="600" w:lineRule="exact"/>
        <w:ind w:right="0"/>
        <w:jc w:val="left"/>
        <w:textAlignment w:val="auto"/>
        <w:outlineLvl w:val="9"/>
        <w:rPr>
          <w:sz w:val="28"/>
          <w:szCs w:val="28"/>
        </w:rPr>
      </w:pPr>
      <w:r>
        <w:rPr>
          <w:rFonts w:hint="eastAsia"/>
          <w:sz w:val="28"/>
          <w:szCs w:val="28"/>
        </w:rPr>
        <w:t>第二部分</w:t>
      </w:r>
      <w:r>
        <w:rPr>
          <w:rFonts w:hint="eastAsia"/>
          <w:sz w:val="28"/>
          <w:szCs w:val="28"/>
          <w:lang w:val="en-US" w:eastAsia="zh-CN"/>
        </w:rPr>
        <w:t xml:space="preserve"> </w:t>
      </w:r>
      <w:r>
        <w:rPr>
          <w:rFonts w:hint="eastAsia"/>
          <w:sz w:val="28"/>
          <w:szCs w:val="28"/>
        </w:rPr>
        <w:t>部门决算情况说明</w:t>
      </w:r>
      <w:r>
        <w:rPr>
          <w:rFonts w:hint="eastAsia"/>
          <w:sz w:val="28"/>
          <w:szCs w:val="28"/>
          <w:lang w:eastAsia="zh-CN"/>
        </w:rPr>
        <w:t>…………………………………………</w:t>
      </w:r>
      <w:r>
        <w:rPr>
          <w:rFonts w:hint="eastAsia"/>
          <w:sz w:val="28"/>
          <w:szCs w:val="28"/>
          <w:lang w:val="en-US" w:eastAsia="zh-CN"/>
        </w:rPr>
        <w:t>7</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一、收入支出决算总体情况说明</w:t>
      </w:r>
      <w:r>
        <w:rPr>
          <w:rFonts w:hint="eastAsia"/>
          <w:sz w:val="28"/>
          <w:szCs w:val="28"/>
          <w:lang w:eastAsia="zh-CN"/>
        </w:rPr>
        <w:t>…………………………………</w:t>
      </w:r>
      <w:r>
        <w:rPr>
          <w:rFonts w:hint="eastAsia"/>
          <w:sz w:val="28"/>
          <w:szCs w:val="28"/>
          <w:lang w:val="en-US" w:eastAsia="zh-CN"/>
        </w:rPr>
        <w:t>7</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二、收入决算情况说明</w:t>
      </w:r>
      <w:r>
        <w:rPr>
          <w:rFonts w:hint="eastAsia"/>
          <w:sz w:val="28"/>
          <w:szCs w:val="28"/>
          <w:lang w:eastAsia="zh-CN"/>
        </w:rPr>
        <w:t>……………………………………………</w:t>
      </w:r>
      <w:r>
        <w:rPr>
          <w:rFonts w:hint="eastAsia"/>
          <w:sz w:val="28"/>
          <w:szCs w:val="28"/>
          <w:lang w:val="en-US" w:eastAsia="zh-CN"/>
        </w:rPr>
        <w:t>7</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三、支出决算情况说明</w:t>
      </w:r>
      <w:r>
        <w:rPr>
          <w:rFonts w:hint="eastAsia"/>
          <w:sz w:val="28"/>
          <w:szCs w:val="28"/>
          <w:lang w:eastAsia="zh-CN"/>
        </w:rPr>
        <w:t>……………………………………………</w:t>
      </w:r>
      <w:r>
        <w:rPr>
          <w:rFonts w:hint="eastAsia"/>
          <w:sz w:val="28"/>
          <w:szCs w:val="28"/>
          <w:lang w:val="en-US" w:eastAsia="zh-CN"/>
        </w:rPr>
        <w:t>7</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四、财政拨款收入支出决算总体情况说明</w:t>
      </w:r>
      <w:r>
        <w:rPr>
          <w:rFonts w:hint="eastAsia"/>
          <w:sz w:val="28"/>
          <w:szCs w:val="28"/>
          <w:lang w:eastAsia="zh-CN"/>
        </w:rPr>
        <w:t>………………………</w:t>
      </w:r>
      <w:r>
        <w:rPr>
          <w:rFonts w:hint="eastAsia"/>
          <w:sz w:val="28"/>
          <w:szCs w:val="28"/>
          <w:lang w:val="en-US" w:eastAsia="zh-CN"/>
        </w:rPr>
        <w:t>7</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五、一般公共预算财政拨款支出决算情况说明</w:t>
      </w:r>
      <w:r>
        <w:rPr>
          <w:rFonts w:hint="eastAsia"/>
          <w:sz w:val="28"/>
          <w:szCs w:val="28"/>
          <w:lang w:eastAsia="zh-CN"/>
        </w:rPr>
        <w:t>…………………</w:t>
      </w:r>
      <w:r>
        <w:rPr>
          <w:rFonts w:hint="eastAsia"/>
          <w:sz w:val="28"/>
          <w:szCs w:val="28"/>
          <w:lang w:val="en-US" w:eastAsia="zh-CN"/>
        </w:rPr>
        <w:t>8</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六、一般公共预算财政拨款基本支出决算情况说明</w:t>
      </w:r>
      <w:r>
        <w:rPr>
          <w:rFonts w:hint="eastAsia"/>
          <w:sz w:val="28"/>
          <w:szCs w:val="28"/>
          <w:lang w:eastAsia="zh-CN"/>
        </w:rPr>
        <w:t>……………</w:t>
      </w:r>
      <w:r>
        <w:rPr>
          <w:rFonts w:hint="eastAsia"/>
          <w:sz w:val="28"/>
          <w:szCs w:val="28"/>
          <w:lang w:val="en-US" w:eastAsia="zh-CN"/>
        </w:rPr>
        <w:t>9</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七、</w:t>
      </w:r>
      <w:r>
        <w:rPr>
          <w:sz w:val="28"/>
          <w:szCs w:val="28"/>
        </w:rPr>
        <w:t>“</w:t>
      </w:r>
      <w:r>
        <w:rPr>
          <w:rFonts w:hint="eastAsia"/>
          <w:sz w:val="28"/>
          <w:szCs w:val="28"/>
        </w:rPr>
        <w:t>三公”经费财政拨款支出决算情况说明</w:t>
      </w:r>
      <w:r>
        <w:rPr>
          <w:rFonts w:hint="eastAsia"/>
          <w:sz w:val="28"/>
          <w:szCs w:val="28"/>
          <w:lang w:eastAsia="zh-CN"/>
        </w:rPr>
        <w:t>…………………</w:t>
      </w:r>
      <w:r>
        <w:rPr>
          <w:rFonts w:hint="eastAsia"/>
          <w:sz w:val="28"/>
          <w:szCs w:val="28"/>
          <w:lang w:val="en-US" w:eastAsia="zh-CN"/>
        </w:rPr>
        <w:t>10</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八、政府性基金预算支出决算情况说明</w:t>
      </w:r>
      <w:r>
        <w:rPr>
          <w:rFonts w:hint="eastAsia"/>
          <w:sz w:val="28"/>
          <w:szCs w:val="28"/>
          <w:lang w:eastAsia="zh-CN"/>
        </w:rPr>
        <w:t>………………………</w:t>
      </w:r>
      <w:r>
        <w:rPr>
          <w:rFonts w:hint="eastAsia"/>
          <w:sz w:val="28"/>
          <w:szCs w:val="28"/>
          <w:lang w:val="en-US" w:eastAsia="zh-CN"/>
        </w:rPr>
        <w:t xml:space="preserve"> 10</w:t>
      </w:r>
    </w:p>
    <w:p>
      <w:pPr>
        <w:pStyle w:val="11"/>
        <w:widowControl w:val="0"/>
        <w:wordWrap/>
        <w:adjustRightInd w:val="0"/>
        <w:snapToGrid w:val="0"/>
        <w:spacing w:line="600" w:lineRule="exact"/>
        <w:ind w:leftChars="0" w:right="0"/>
        <w:jc w:val="left"/>
        <w:textAlignment w:val="auto"/>
        <w:outlineLvl w:val="9"/>
        <w:rPr>
          <w:rFonts w:ascii="仿宋" w:hAnsi="仿宋" w:eastAsia="仿宋"/>
          <w:sz w:val="28"/>
          <w:szCs w:val="28"/>
        </w:rPr>
      </w:pPr>
      <w:r>
        <w:rPr>
          <w:rFonts w:hint="eastAsia" w:ascii="仿宋" w:hAnsi="仿宋" w:eastAsia="仿宋"/>
          <w:sz w:val="28"/>
          <w:szCs w:val="28"/>
        </w:rPr>
        <w:t>九、</w:t>
      </w:r>
      <w:r>
        <w:rPr>
          <w:sz w:val="28"/>
          <w:szCs w:val="28"/>
        </w:rPr>
        <w:t xml:space="preserve"> </w:t>
      </w:r>
      <w:r>
        <w:rPr>
          <w:rFonts w:hint="eastAsia"/>
          <w:sz w:val="28"/>
          <w:szCs w:val="28"/>
        </w:rPr>
        <w:t>国有资本经营预算支出决算情况说明</w:t>
      </w:r>
      <w:r>
        <w:rPr>
          <w:rFonts w:hint="eastAsia"/>
          <w:sz w:val="28"/>
          <w:szCs w:val="28"/>
          <w:lang w:eastAsia="zh-CN"/>
        </w:rPr>
        <w:t>……………………</w:t>
      </w:r>
      <w:r>
        <w:rPr>
          <w:rFonts w:hint="eastAsia"/>
          <w:sz w:val="28"/>
          <w:szCs w:val="28"/>
          <w:lang w:val="en-US" w:eastAsia="zh-CN"/>
        </w:rPr>
        <w:t>11</w:t>
      </w:r>
    </w:p>
    <w:p>
      <w:pPr>
        <w:widowControl w:val="0"/>
        <w:wordWrap/>
        <w:adjustRightInd w:val="0"/>
        <w:snapToGrid w:val="0"/>
        <w:spacing w:line="600" w:lineRule="exact"/>
        <w:ind w:right="0"/>
        <w:jc w:val="left"/>
        <w:textAlignment w:val="auto"/>
        <w:outlineLvl w:val="9"/>
        <w:rPr>
          <w:rFonts w:ascii="仿宋" w:hAnsi="仿宋" w:eastAsia="仿宋"/>
          <w:sz w:val="28"/>
          <w:szCs w:val="28"/>
        </w:rPr>
      </w:pPr>
      <w:r>
        <w:rPr>
          <w:rStyle w:val="15"/>
          <w:rFonts w:hint="eastAsia" w:ascii="仿宋" w:hAnsi="仿宋" w:eastAsia="仿宋"/>
          <w:color w:val="000000"/>
          <w:sz w:val="28"/>
          <w:szCs w:val="28"/>
          <w:u w:val="none"/>
          <w:lang w:val="en-US" w:eastAsia="zh-CN"/>
        </w:rPr>
        <w:t xml:space="preserve">   </w:t>
      </w:r>
      <w:r>
        <w:rPr>
          <w:rStyle w:val="15"/>
          <w:rFonts w:hint="eastAsia" w:ascii="仿宋" w:hAnsi="仿宋" w:eastAsia="仿宋"/>
          <w:color w:val="000000"/>
          <w:sz w:val="28"/>
          <w:szCs w:val="28"/>
          <w:u w:val="none"/>
        </w:rPr>
        <w:t>十、</w:t>
      </w:r>
      <w:r>
        <w:rPr>
          <w:rFonts w:hint="eastAsia"/>
          <w:sz w:val="28"/>
          <w:szCs w:val="28"/>
        </w:rPr>
        <w:t>其他重要事项的情况说明</w:t>
      </w:r>
      <w:r>
        <w:rPr>
          <w:rFonts w:ascii="仿宋" w:hAnsi="仿宋" w:eastAsia="仿宋"/>
          <w:sz w:val="28"/>
          <w:szCs w:val="28"/>
        </w:rPr>
        <w:tab/>
      </w:r>
      <w:r>
        <w:rPr>
          <w:rFonts w:hint="eastAsia" w:ascii="仿宋" w:hAnsi="仿宋" w:eastAsia="仿宋"/>
          <w:sz w:val="28"/>
          <w:szCs w:val="28"/>
          <w:lang w:eastAsia="zh-CN"/>
        </w:rPr>
        <w:t>…………………………………</w:t>
      </w:r>
      <w:r>
        <w:rPr>
          <w:rFonts w:hint="eastAsia" w:ascii="仿宋" w:hAnsi="仿宋" w:eastAsia="仿宋"/>
          <w:sz w:val="28"/>
          <w:szCs w:val="28"/>
          <w:lang w:val="en-US" w:eastAsia="zh-CN"/>
        </w:rPr>
        <w:t>11</w:t>
      </w:r>
    </w:p>
    <w:p>
      <w:pPr>
        <w:pStyle w:val="10"/>
        <w:widowControl w:val="0"/>
        <w:wordWrap/>
        <w:adjustRightInd w:val="0"/>
        <w:snapToGrid w:val="0"/>
        <w:spacing w:before="0" w:line="600" w:lineRule="exact"/>
        <w:ind w:right="0"/>
        <w:jc w:val="left"/>
        <w:textAlignment w:val="auto"/>
        <w:outlineLvl w:val="9"/>
        <w:rPr>
          <w:sz w:val="28"/>
          <w:szCs w:val="28"/>
        </w:rPr>
      </w:pPr>
      <w:r>
        <w:rPr>
          <w:rFonts w:hint="eastAsia"/>
          <w:sz w:val="28"/>
          <w:szCs w:val="28"/>
        </w:rPr>
        <w:t>第三部分</w:t>
      </w:r>
      <w:r>
        <w:rPr>
          <w:sz w:val="28"/>
          <w:szCs w:val="28"/>
        </w:rPr>
        <w:t xml:space="preserve"> </w:t>
      </w:r>
      <w:r>
        <w:rPr>
          <w:rFonts w:hint="eastAsia"/>
          <w:sz w:val="28"/>
          <w:szCs w:val="28"/>
        </w:rPr>
        <w:t>名词解释</w:t>
      </w:r>
      <w:r>
        <w:rPr>
          <w:rFonts w:hint="eastAsia"/>
          <w:sz w:val="28"/>
          <w:szCs w:val="28"/>
          <w:lang w:eastAsia="zh-CN"/>
        </w:rPr>
        <w:t>…………………………………………………</w:t>
      </w:r>
      <w:r>
        <w:rPr>
          <w:rFonts w:hint="eastAsia"/>
          <w:sz w:val="28"/>
          <w:szCs w:val="28"/>
          <w:lang w:val="en-US" w:eastAsia="zh-CN"/>
        </w:rPr>
        <w:t>20</w:t>
      </w:r>
    </w:p>
    <w:p>
      <w:pPr>
        <w:pStyle w:val="10"/>
        <w:widowControl w:val="0"/>
        <w:wordWrap/>
        <w:adjustRightInd w:val="0"/>
        <w:snapToGrid w:val="0"/>
        <w:spacing w:before="0" w:line="600" w:lineRule="exact"/>
        <w:ind w:right="0"/>
        <w:jc w:val="left"/>
        <w:textAlignment w:val="auto"/>
        <w:outlineLvl w:val="9"/>
        <w:rPr>
          <w:sz w:val="28"/>
          <w:szCs w:val="28"/>
        </w:rPr>
      </w:pPr>
      <w:r>
        <w:rPr>
          <w:rFonts w:hint="eastAsia"/>
          <w:sz w:val="28"/>
          <w:szCs w:val="28"/>
        </w:rPr>
        <w:t>第四部分</w:t>
      </w:r>
      <w:r>
        <w:rPr>
          <w:sz w:val="28"/>
          <w:szCs w:val="28"/>
        </w:rPr>
        <w:t xml:space="preserve"> </w:t>
      </w:r>
      <w:r>
        <w:rPr>
          <w:rFonts w:hint="eastAsia"/>
          <w:sz w:val="28"/>
          <w:szCs w:val="28"/>
        </w:rPr>
        <w:t>附件</w:t>
      </w:r>
      <w:r>
        <w:rPr>
          <w:rFonts w:hint="eastAsia"/>
          <w:sz w:val="28"/>
          <w:szCs w:val="28"/>
          <w:lang w:eastAsia="zh-CN"/>
        </w:rPr>
        <w:t>………………………………………………………</w:t>
      </w:r>
      <w:r>
        <w:rPr>
          <w:rFonts w:hint="eastAsia"/>
          <w:sz w:val="28"/>
          <w:szCs w:val="28"/>
          <w:lang w:val="en-US" w:eastAsia="zh-CN"/>
        </w:rPr>
        <w:t>22</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附件</w:t>
      </w:r>
      <w:r>
        <w:rPr>
          <w:sz w:val="28"/>
          <w:szCs w:val="28"/>
        </w:rPr>
        <w:t>1</w:t>
      </w:r>
      <w:r>
        <w:rPr>
          <w:rFonts w:hint="eastAsia"/>
          <w:sz w:val="28"/>
          <w:szCs w:val="28"/>
          <w:lang w:eastAsia="zh-CN"/>
        </w:rPr>
        <w:t>……………………………………………………………</w:t>
      </w:r>
      <w:r>
        <w:rPr>
          <w:rFonts w:hint="eastAsia"/>
          <w:sz w:val="28"/>
          <w:szCs w:val="28"/>
          <w:lang w:val="en-US" w:eastAsia="zh-CN"/>
        </w:rPr>
        <w:t>22</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sz w:val="28"/>
          <w:szCs w:val="28"/>
        </w:rPr>
        <w:t>附件</w:t>
      </w:r>
      <w:r>
        <w:rPr>
          <w:sz w:val="28"/>
          <w:szCs w:val="28"/>
        </w:rPr>
        <w:t>2</w:t>
      </w:r>
      <w:r>
        <w:rPr>
          <w:rFonts w:hint="eastAsia"/>
          <w:sz w:val="28"/>
          <w:szCs w:val="28"/>
          <w:lang w:eastAsia="zh-CN"/>
        </w:rPr>
        <w:t>……………………………………………………………</w:t>
      </w:r>
      <w:r>
        <w:rPr>
          <w:rFonts w:hint="eastAsia"/>
          <w:sz w:val="28"/>
          <w:szCs w:val="28"/>
          <w:lang w:val="en-US" w:eastAsia="zh-CN"/>
        </w:rPr>
        <w:t>26</w:t>
      </w:r>
    </w:p>
    <w:p>
      <w:pPr>
        <w:pStyle w:val="10"/>
        <w:widowControl w:val="0"/>
        <w:wordWrap/>
        <w:adjustRightInd w:val="0"/>
        <w:snapToGrid w:val="0"/>
        <w:spacing w:before="0" w:line="600" w:lineRule="exact"/>
        <w:ind w:right="0"/>
        <w:jc w:val="left"/>
        <w:textAlignment w:val="auto"/>
        <w:outlineLvl w:val="9"/>
        <w:rPr>
          <w:sz w:val="28"/>
          <w:szCs w:val="28"/>
        </w:rPr>
      </w:pPr>
      <w:r>
        <w:rPr>
          <w:rFonts w:hint="eastAsia"/>
          <w:sz w:val="28"/>
          <w:szCs w:val="28"/>
        </w:rPr>
        <w:t>第五部分</w:t>
      </w:r>
      <w:r>
        <w:rPr>
          <w:sz w:val="28"/>
          <w:szCs w:val="28"/>
        </w:rPr>
        <w:t xml:space="preserve"> </w:t>
      </w:r>
      <w:r>
        <w:rPr>
          <w:rFonts w:hint="eastAsia"/>
          <w:sz w:val="28"/>
          <w:szCs w:val="28"/>
        </w:rPr>
        <w:t>附表</w:t>
      </w:r>
      <w:r>
        <w:rPr>
          <w:rFonts w:hint="eastAsia"/>
          <w:sz w:val="28"/>
          <w:szCs w:val="28"/>
          <w:lang w:eastAsia="zh-CN"/>
        </w:rPr>
        <w:t>……………………………………………………</w:t>
      </w:r>
      <w:r>
        <w:rPr>
          <w:rFonts w:hint="eastAsia"/>
          <w:sz w:val="28"/>
          <w:szCs w:val="28"/>
          <w:lang w:val="en-US" w:eastAsia="zh-CN"/>
        </w:rPr>
        <w:t>41</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一、</w:t>
      </w:r>
      <w:r>
        <w:rPr>
          <w:rFonts w:hint="eastAsia"/>
          <w:sz w:val="28"/>
          <w:szCs w:val="28"/>
        </w:rPr>
        <w:t>收入支出决算总表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二、</w:t>
      </w:r>
      <w:r>
        <w:rPr>
          <w:rFonts w:hint="eastAsia"/>
          <w:sz w:val="28"/>
          <w:szCs w:val="28"/>
        </w:rPr>
        <w:t>收入</w:t>
      </w:r>
      <w:r>
        <w:rPr>
          <w:rFonts w:hint="eastAsia" w:ascii="仿宋" w:hAnsi="仿宋" w:eastAsia="仿宋"/>
          <w:sz w:val="28"/>
          <w:szCs w:val="28"/>
        </w:rPr>
        <w:t>决算</w:t>
      </w:r>
      <w:r>
        <w:rPr>
          <w:rFonts w:hint="eastAsia"/>
          <w:sz w:val="28"/>
          <w:szCs w:val="28"/>
        </w:rPr>
        <w:t>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三、</w:t>
      </w:r>
      <w:r>
        <w:rPr>
          <w:rFonts w:hint="eastAsia"/>
          <w:sz w:val="28"/>
          <w:szCs w:val="28"/>
        </w:rPr>
        <w:t>支出</w:t>
      </w:r>
      <w:r>
        <w:rPr>
          <w:rFonts w:hint="eastAsia" w:ascii="仿宋" w:hAnsi="仿宋" w:eastAsia="仿宋"/>
          <w:sz w:val="28"/>
          <w:szCs w:val="28"/>
        </w:rPr>
        <w:t>决算</w:t>
      </w:r>
      <w:r>
        <w:rPr>
          <w:rFonts w:hint="eastAsia"/>
          <w:sz w:val="28"/>
          <w:szCs w:val="28"/>
        </w:rPr>
        <w:t>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四、</w:t>
      </w:r>
      <w:r>
        <w:rPr>
          <w:rFonts w:hint="eastAsia"/>
          <w:sz w:val="28"/>
          <w:szCs w:val="28"/>
        </w:rPr>
        <w:t>财政拨款收入支出决算总表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五、财政拨款支出决算明细表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六、</w:t>
      </w:r>
      <w:r>
        <w:rPr>
          <w:rFonts w:hint="eastAsia"/>
          <w:sz w:val="28"/>
          <w:szCs w:val="28"/>
        </w:rPr>
        <w:t>一般公共预算财政拨款支出决算表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七、</w:t>
      </w:r>
      <w:r>
        <w:rPr>
          <w:rFonts w:hint="eastAsia"/>
          <w:sz w:val="28"/>
          <w:szCs w:val="28"/>
        </w:rPr>
        <w:t>一般公共预算财政拨款支出决算明细表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八、</w:t>
      </w:r>
      <w:r>
        <w:rPr>
          <w:rFonts w:hint="eastAsia"/>
          <w:sz w:val="28"/>
          <w:szCs w:val="28"/>
        </w:rPr>
        <w:t>一般公共预算财政拨款基本支出决算表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九、</w:t>
      </w:r>
      <w:r>
        <w:rPr>
          <w:rFonts w:hint="eastAsia"/>
          <w:sz w:val="28"/>
          <w:szCs w:val="28"/>
        </w:rPr>
        <w:t>一般公共预算财政拨款项目支出决算表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十、</w:t>
      </w:r>
      <w:r>
        <w:rPr>
          <w:rFonts w:hint="eastAsia"/>
          <w:sz w:val="28"/>
          <w:szCs w:val="28"/>
        </w:rPr>
        <w:t>一般公共预算财政拨款“三公”经费支出决算表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十一、</w:t>
      </w:r>
      <w:r>
        <w:rPr>
          <w:rFonts w:hint="eastAsia"/>
          <w:sz w:val="28"/>
          <w:szCs w:val="28"/>
        </w:rPr>
        <w:t>政府性基金预算财政拨款收入支出决算表</w:t>
      </w:r>
    </w:p>
    <w:p>
      <w:pPr>
        <w:pStyle w:val="11"/>
        <w:widowControl w:val="0"/>
        <w:wordWrap/>
        <w:adjustRightInd w:val="0"/>
        <w:snapToGrid w:val="0"/>
        <w:spacing w:line="600" w:lineRule="exact"/>
        <w:ind w:right="0"/>
        <w:jc w:val="left"/>
        <w:textAlignment w:val="auto"/>
        <w:outlineLvl w:val="9"/>
        <w:rPr>
          <w:rFonts w:ascii="仿宋" w:hAnsi="仿宋" w:eastAsia="仿宋"/>
          <w:sz w:val="28"/>
          <w:szCs w:val="28"/>
        </w:rPr>
      </w:pPr>
      <w:r>
        <w:rPr>
          <w:rFonts w:hint="eastAsia" w:ascii="仿宋" w:hAnsi="仿宋" w:eastAsia="仿宋"/>
          <w:sz w:val="28"/>
          <w:szCs w:val="28"/>
        </w:rPr>
        <w:t>十二、</w:t>
      </w:r>
      <w:r>
        <w:rPr>
          <w:rFonts w:hint="eastAsia"/>
          <w:sz w:val="28"/>
          <w:szCs w:val="28"/>
        </w:rPr>
        <w:t>政府性基金预算财政拨款“三公”经费支出决算表</w:t>
      </w:r>
    </w:p>
    <w:p>
      <w:pPr>
        <w:pStyle w:val="11"/>
        <w:widowControl w:val="0"/>
        <w:wordWrap/>
        <w:adjustRightInd w:val="0"/>
        <w:snapToGrid w:val="0"/>
        <w:spacing w:line="600" w:lineRule="exact"/>
        <w:ind w:right="0"/>
        <w:jc w:val="left"/>
        <w:textAlignment w:val="auto"/>
        <w:outlineLvl w:val="9"/>
        <w:rPr>
          <w:rFonts w:hint="eastAsia" w:ascii="仿宋" w:hAnsi="仿宋" w:eastAsia="仿宋"/>
          <w:sz w:val="28"/>
          <w:szCs w:val="28"/>
        </w:rPr>
      </w:pPr>
      <w:r>
        <w:rPr>
          <w:rFonts w:hint="eastAsia" w:ascii="仿宋" w:hAnsi="仿宋" w:eastAsia="仿宋"/>
          <w:sz w:val="28"/>
          <w:szCs w:val="28"/>
        </w:rPr>
        <w:t>十三、国有资本经营预算财政拨款收入支出决算表</w:t>
      </w:r>
    </w:p>
    <w:p>
      <w:pPr>
        <w:pStyle w:val="11"/>
        <w:widowControl w:val="0"/>
        <w:wordWrap/>
        <w:adjustRightInd w:val="0"/>
        <w:snapToGrid w:val="0"/>
        <w:spacing w:line="600" w:lineRule="exact"/>
        <w:ind w:right="0"/>
        <w:jc w:val="left"/>
        <w:textAlignment w:val="auto"/>
        <w:outlineLvl w:val="9"/>
        <w:rPr>
          <w:rFonts w:hint="eastAsia" w:ascii="仿宋" w:hAnsi="仿宋" w:eastAsia="仿宋"/>
          <w:sz w:val="28"/>
          <w:szCs w:val="28"/>
        </w:rPr>
      </w:pPr>
      <w:r>
        <w:rPr>
          <w:rFonts w:hint="eastAsia" w:ascii="仿宋" w:hAnsi="仿宋" w:eastAsia="仿宋"/>
          <w:sz w:val="28"/>
          <w:szCs w:val="28"/>
        </w:rPr>
        <w:t>十四、国有资本经营预算财政拨款支出决算表</w:t>
      </w:r>
    </w:p>
    <w:p>
      <w:pPr>
        <w:widowControl/>
        <w:adjustRightInd w:val="0"/>
        <w:snapToGrid w:val="0"/>
        <w:spacing w:line="440" w:lineRule="exact"/>
        <w:ind w:firstLine="1320" w:firstLineChars="550"/>
        <w:jc w:val="left"/>
        <w:rPr>
          <w:rFonts w:ascii="仿宋" w:hAnsi="仿宋" w:eastAsia="仿宋"/>
          <w:color w:val="FF0000"/>
          <w:sz w:val="24"/>
        </w:rPr>
      </w:pPr>
    </w:p>
    <w:p>
      <w:pPr>
        <w:pStyle w:val="2"/>
        <w:jc w:val="center"/>
        <w:rPr>
          <w:color w:val="auto"/>
          <w:highlight w:val="none"/>
        </w:rPr>
      </w:pPr>
      <w:r>
        <w:rPr>
          <w:rFonts w:ascii="仿宋" w:hAnsi="仿宋" w:eastAsia="仿宋"/>
          <w:b w:val="0"/>
          <w:sz w:val="24"/>
        </w:rPr>
        <w:br w:type="page"/>
      </w:r>
    </w:p>
    <w:p>
      <w:pPr>
        <w:pStyle w:val="2"/>
        <w:jc w:val="center"/>
        <w:rPr>
          <w:rFonts w:ascii="黑体" w:hAnsi="黑体" w:eastAsia="黑体"/>
          <w:bCs w:val="0"/>
          <w:color w:val="auto"/>
          <w:highlight w:val="none"/>
        </w:rPr>
      </w:pPr>
      <w:r>
        <w:rPr>
          <w:rFonts w:hint="eastAsia" w:ascii="黑体" w:hAnsi="黑体" w:eastAsia="黑体"/>
          <w:b w:val="0"/>
          <w:color w:val="auto"/>
          <w:highlight w:val="none"/>
        </w:rPr>
        <w:t xml:space="preserve">第一部分 </w:t>
      </w:r>
      <w:r>
        <w:rPr>
          <w:rStyle w:val="27"/>
          <w:rFonts w:hint="eastAsia" w:ascii="黑体" w:hAnsi="黑体" w:eastAsia="黑体"/>
          <w:b w:val="0"/>
          <w:bCs w:val="0"/>
          <w:color w:val="auto"/>
          <w:highlight w:val="none"/>
        </w:rPr>
        <w:t>部门概况</w:t>
      </w:r>
      <w:bookmarkEnd w:id="12"/>
      <w:bookmarkEnd w:id="13"/>
    </w:p>
    <w:p>
      <w:pPr>
        <w:pStyle w:val="3"/>
        <w:rPr>
          <w:rStyle w:val="28"/>
          <w:rFonts w:ascii="仿宋" w:hAnsi="仿宋" w:eastAsia="仿宋"/>
          <w:b w:val="0"/>
          <w:bCs w:val="0"/>
          <w:color w:val="auto"/>
          <w:highlight w:val="none"/>
        </w:rPr>
      </w:pPr>
      <w:bookmarkStart w:id="14" w:name="_Toc15396600"/>
      <w:bookmarkStart w:id="15" w:name="_Toc15377197"/>
      <w:r>
        <w:rPr>
          <w:rFonts w:hint="eastAsia" w:ascii="黑体" w:hAnsi="黑体" w:eastAsia="黑体"/>
          <w:b w:val="0"/>
          <w:color w:val="auto"/>
          <w:highlight w:val="none"/>
        </w:rPr>
        <w:t>一、基</w:t>
      </w:r>
      <w:r>
        <w:rPr>
          <w:rStyle w:val="28"/>
          <w:rFonts w:hint="eastAsia" w:ascii="黑体" w:hAnsi="黑体" w:eastAsia="黑体"/>
          <w:b w:val="0"/>
          <w:bCs w:val="0"/>
          <w:color w:val="auto"/>
          <w:highlight w:val="none"/>
        </w:rPr>
        <w:t>本职能及主要工作</w:t>
      </w:r>
      <w:bookmarkEnd w:id="14"/>
      <w:bookmarkEnd w:id="15"/>
    </w:p>
    <w:p>
      <w:pPr>
        <w:pStyle w:val="5"/>
        <w:adjustRightInd w:val="0"/>
        <w:snapToGrid w:val="0"/>
        <w:spacing w:before="93" w:line="600" w:lineRule="exact"/>
        <w:ind w:firstLine="672" w:firstLineChars="210"/>
        <w:outlineLvl w:val="2"/>
        <w:rPr>
          <w:rFonts w:ascii="仿宋" w:hAnsi="仿宋" w:eastAsia="仿宋"/>
          <w:bCs/>
          <w:color w:val="auto"/>
          <w:sz w:val="32"/>
          <w:szCs w:val="32"/>
          <w:highlight w:val="none"/>
        </w:rPr>
      </w:pPr>
      <w:bookmarkStart w:id="16" w:name="_Toc15377198"/>
      <w:bookmarkStart w:id="17" w:name="_Toc15378445"/>
      <w:r>
        <w:rPr>
          <w:rFonts w:hint="eastAsia" w:ascii="仿宋" w:hAnsi="仿宋" w:eastAsia="仿宋"/>
          <w:bCs/>
          <w:color w:val="auto"/>
          <w:sz w:val="32"/>
          <w:szCs w:val="32"/>
          <w:highlight w:val="none"/>
        </w:rPr>
        <w:t>（一）主要职能。</w:t>
      </w:r>
      <w:bookmarkEnd w:id="16"/>
      <w:bookmarkEnd w:id="17"/>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泸州市中医医院建于1959年，占地20亩、建筑面积3.4万平米，是集医疗、教学、科研、康复、预防保健、文化为一体的国家三级甲等中医医院、国家重点中医医院建设单位、国家级胸痛中心、国家级心衰中心、国家中医药管理局中医住院医师和中医全科医师规范化培训基地、国家级麻醉、急诊、康复、妇产专科医师规范化培训协同基地、西南医科大学附属泸州市中医医院、四川省数字化医院、华西医院远程教学和会诊医院、成都中医药大学和西南医科大学教学实习基地、泸州市脑卒中急救地图医院。</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编制床位520张，开放床位751张。</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人才队伍。医院在岗职工900余人，拥有国家级、省级学术经验继承指导老师5人，全国中医优秀人才研修项目培养对象1人、国家中药特色技术传承人才2人、国家中医护理骨干2人、省市级名中医9人、省级优秀中医临床人才3人、省市级学术和技术带头人5人。</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科室建设。医院设置临床、医技科室41个，职能科室20个，其中骨伤科、心脑血管病科、针灸康复科等13个科室是国家级、省级和市级重点专科（含在建和培育单位）。</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设备配置。医院拥有1.5T西门子核磁共振、64层螺旋CT、数字化血管造影系统、飞利浦彩色多普勒超声诊断系统、血管内超声系统、DR、C臂、胃肠机、奥林巴斯胃肠镜、血透机、史塞克腹腔镜、椎间孔镜手术系统、制氧系统、成套康复设备、全自动生化分析仪等多套先进医疗设备以及现代化层流手术间。</w:t>
      </w:r>
    </w:p>
    <w:p>
      <w:pPr>
        <w:spacing w:line="5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新院建设。位于长湿新城的城南院区占地100亩，规划建设面积15万平方米，拟设置病床1000张，总投资约9亿元，预计2020年底投入使用。</w:t>
      </w:r>
    </w:p>
    <w:p>
      <w:pPr>
        <w:pStyle w:val="5"/>
        <w:adjustRightInd w:val="0"/>
        <w:snapToGrid w:val="0"/>
        <w:spacing w:before="93" w:line="700" w:lineRule="exact"/>
        <w:ind w:firstLine="672" w:firstLineChars="210"/>
        <w:outlineLvl w:val="2"/>
        <w:rPr>
          <w:rFonts w:ascii="仿宋" w:hAnsi="仿宋" w:eastAsia="仿宋"/>
          <w:bCs/>
          <w:color w:val="auto"/>
          <w:sz w:val="32"/>
          <w:szCs w:val="32"/>
          <w:highlight w:val="none"/>
        </w:rPr>
      </w:pPr>
      <w:bookmarkStart w:id="18" w:name="_Toc15377199"/>
      <w:bookmarkStart w:id="19" w:name="_Toc15378446"/>
      <w:r>
        <w:rPr>
          <w:rFonts w:hint="eastAsia" w:ascii="仿宋" w:hAnsi="仿宋" w:eastAsia="仿宋"/>
          <w:bCs/>
          <w:color w:val="auto"/>
          <w:sz w:val="32"/>
          <w:szCs w:val="32"/>
          <w:highlight w:val="none"/>
        </w:rPr>
        <w:t>（二）</w:t>
      </w:r>
      <w:r>
        <w:rPr>
          <w:rFonts w:hint="eastAsia" w:ascii="仿宋" w:hAnsi="仿宋" w:eastAsia="仿宋"/>
          <w:bCs/>
          <w:color w:val="auto"/>
          <w:sz w:val="32"/>
          <w:szCs w:val="32"/>
          <w:highlight w:val="none"/>
          <w:lang w:val="en-US" w:eastAsia="zh-CN"/>
        </w:rPr>
        <w:t>2020</w:t>
      </w:r>
      <w:r>
        <w:rPr>
          <w:rFonts w:hint="eastAsia" w:ascii="仿宋" w:hAnsi="仿宋" w:eastAsia="仿宋"/>
          <w:bCs/>
          <w:color w:val="auto"/>
          <w:sz w:val="32"/>
          <w:szCs w:val="32"/>
          <w:highlight w:val="none"/>
        </w:rPr>
        <w:t>年重点工作完成情况。</w:t>
      </w:r>
      <w:bookmarkEnd w:id="18"/>
      <w:bookmarkEnd w:id="19"/>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1、医院发展情况。</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年，医院累计完成门诊</w:t>
      </w:r>
      <w:r>
        <w:rPr>
          <w:rFonts w:hint="eastAsia" w:ascii="仿宋" w:hAnsi="仿宋" w:eastAsia="仿宋" w:cs="仿宋"/>
          <w:color w:val="auto"/>
          <w:sz w:val="28"/>
          <w:szCs w:val="28"/>
          <w:highlight w:val="none"/>
          <w:lang w:val="en-US" w:eastAsia="zh-CN"/>
        </w:rPr>
        <w:t>274923</w:t>
      </w:r>
      <w:r>
        <w:rPr>
          <w:rFonts w:hint="eastAsia" w:ascii="仿宋" w:hAnsi="仿宋" w:eastAsia="仿宋" w:cs="仿宋"/>
          <w:color w:val="auto"/>
          <w:sz w:val="28"/>
          <w:szCs w:val="28"/>
          <w:highlight w:val="none"/>
        </w:rPr>
        <w:t>人次，同比</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lang w:val="en-US" w:eastAsia="zh-CN"/>
        </w:rPr>
        <w:t>14.91</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实际出</w:t>
      </w:r>
      <w:r>
        <w:rPr>
          <w:rFonts w:hint="eastAsia" w:ascii="仿宋" w:hAnsi="仿宋" w:eastAsia="仿宋" w:cs="仿宋"/>
          <w:color w:val="auto"/>
          <w:sz w:val="28"/>
          <w:szCs w:val="28"/>
          <w:highlight w:val="none"/>
        </w:rPr>
        <w:t>院</w:t>
      </w:r>
      <w:r>
        <w:rPr>
          <w:rFonts w:hint="eastAsia" w:ascii="仿宋" w:hAnsi="仿宋" w:eastAsia="仿宋" w:cs="仿宋"/>
          <w:color w:val="auto"/>
          <w:sz w:val="28"/>
          <w:szCs w:val="28"/>
          <w:highlight w:val="none"/>
          <w:lang w:val="en-US" w:eastAsia="zh-CN"/>
        </w:rPr>
        <w:t>21614</w:t>
      </w:r>
      <w:r>
        <w:rPr>
          <w:rFonts w:hint="eastAsia" w:ascii="仿宋" w:hAnsi="仿宋" w:eastAsia="仿宋" w:cs="仿宋"/>
          <w:color w:val="auto"/>
          <w:sz w:val="28"/>
          <w:szCs w:val="28"/>
          <w:highlight w:val="none"/>
        </w:rPr>
        <w:t>人次，同比</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lang w:val="en-US" w:eastAsia="zh-CN"/>
        </w:rPr>
        <w:t>21.03</w:t>
      </w:r>
      <w:r>
        <w:rPr>
          <w:rFonts w:hint="eastAsia" w:ascii="仿宋" w:hAnsi="仿宋" w:eastAsia="仿宋" w:cs="仿宋"/>
          <w:color w:val="auto"/>
          <w:sz w:val="28"/>
          <w:szCs w:val="28"/>
          <w:highlight w:val="none"/>
        </w:rPr>
        <w:t>%；手术总台次</w:t>
      </w:r>
      <w:r>
        <w:rPr>
          <w:rFonts w:hint="eastAsia" w:ascii="仿宋" w:hAnsi="仿宋" w:eastAsia="仿宋" w:cs="仿宋"/>
          <w:color w:val="auto"/>
          <w:sz w:val="28"/>
          <w:szCs w:val="28"/>
          <w:highlight w:val="none"/>
          <w:lang w:val="en-US" w:eastAsia="zh-CN"/>
        </w:rPr>
        <w:t>6745次</w:t>
      </w:r>
      <w:r>
        <w:rPr>
          <w:rFonts w:hint="eastAsia" w:ascii="仿宋" w:hAnsi="仿宋" w:eastAsia="仿宋" w:cs="仿宋"/>
          <w:color w:val="auto"/>
          <w:sz w:val="28"/>
          <w:szCs w:val="28"/>
          <w:highlight w:val="none"/>
        </w:rPr>
        <w:t>，同比</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lang w:val="en-US" w:eastAsia="zh-CN"/>
        </w:rPr>
        <w:t>18.37</w:t>
      </w:r>
      <w:r>
        <w:rPr>
          <w:rFonts w:hint="eastAsia" w:ascii="仿宋" w:hAnsi="仿宋" w:eastAsia="仿宋" w:cs="仿宋"/>
          <w:color w:val="auto"/>
          <w:sz w:val="28"/>
          <w:szCs w:val="28"/>
          <w:highlight w:val="none"/>
        </w:rPr>
        <w:t>%；医技检查</w:t>
      </w:r>
      <w:r>
        <w:rPr>
          <w:rFonts w:hint="eastAsia" w:ascii="仿宋" w:hAnsi="仿宋" w:eastAsia="仿宋" w:cs="仿宋"/>
          <w:color w:val="auto"/>
          <w:sz w:val="28"/>
          <w:szCs w:val="28"/>
          <w:highlight w:val="none"/>
          <w:lang w:val="en-US" w:eastAsia="zh-CN"/>
        </w:rPr>
        <w:t>634477</w:t>
      </w:r>
      <w:r>
        <w:rPr>
          <w:rFonts w:hint="eastAsia" w:ascii="仿宋" w:hAnsi="仿宋" w:eastAsia="仿宋" w:cs="仿宋"/>
          <w:color w:val="auto"/>
          <w:sz w:val="28"/>
          <w:szCs w:val="28"/>
          <w:highlight w:val="none"/>
        </w:rPr>
        <w:t>项次，同比</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lang w:val="en-US" w:eastAsia="zh-CN"/>
        </w:rPr>
        <w:t>20.09</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,平均住院10.32日，同比增加5.7%。</w:t>
      </w:r>
    </w:p>
    <w:p>
      <w:pPr>
        <w:spacing w:line="500" w:lineRule="exact"/>
        <w:ind w:firstLine="642"/>
        <w:rPr>
          <w:rFonts w:hint="eastAsia" w:ascii="仿宋" w:hAnsi="仿宋" w:eastAsia="仿宋" w:cs="仿宋"/>
          <w:color w:val="auto"/>
          <w:sz w:val="28"/>
          <w:szCs w:val="28"/>
          <w:highlight w:val="none"/>
          <w:lang w:val="en-US" w:eastAsia="zh-CN"/>
        </w:rPr>
      </w:pPr>
      <w:bookmarkStart w:id="20" w:name="_Toc15396601"/>
      <w:bookmarkStart w:id="21" w:name="_Toc15377200"/>
      <w:r>
        <w:rPr>
          <w:rFonts w:hint="eastAsia" w:ascii="仿宋" w:hAnsi="仿宋" w:eastAsia="仿宋" w:cs="仿宋"/>
          <w:color w:val="auto"/>
          <w:sz w:val="28"/>
          <w:szCs w:val="28"/>
          <w:highlight w:val="none"/>
          <w:lang w:val="en-US" w:eastAsia="zh-CN"/>
        </w:rPr>
        <w:t>2、以理论武装为切入点，狠抓党的政治建设和思想建设。2020年，医院党委坚持以习近平新时代中国特色社会主义思想为指导，着眼常态疫情防控形势下医院发展，以建成公立医院党委领导下的院长负责制为宗旨，以党员分类管理试点工作为抓手，持续推进新时代全面从严治党向纵深发展。</w:t>
      </w:r>
    </w:p>
    <w:p>
      <w:pPr>
        <w:spacing w:line="500" w:lineRule="exact"/>
        <w:ind w:firstLine="642"/>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3、坚持汇聚合力，综合协调统战群团工作。医院重视统战工作，因结民主党派和非党派优秀人士，积极支持农工党换届工作。</w:t>
      </w:r>
    </w:p>
    <w:p>
      <w:pPr>
        <w:spacing w:line="500" w:lineRule="exact"/>
        <w:ind w:firstLine="642"/>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以夯实基础为着力点，深入开展结对帮扶工作。医院党委高度重视结对帮扶工作，2020年，班子成员对骑龙村进行一次摸底调研，并根据骑龙村面临的新问题、新情况制度完善了《泸州市中医医院2020年度结对帮扶叙永县观兴镇骑龙村工作计划》，提出了九方面的具体帮扶措施，调整了帮扶领导小组，明确了帮扶任务。</w:t>
      </w:r>
    </w:p>
    <w:p>
      <w:pPr>
        <w:spacing w:line="500" w:lineRule="exact"/>
        <w:ind w:firstLine="642"/>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5、紧扣“一院两区，协同发展”总体定位，筑牢发展“压舱石”。2020年，医院在管理制度、机构设置、人员配置、物资管理等方面不断论证、逐步探索适应“一院两区”的管理模式。</w:t>
      </w:r>
    </w:p>
    <w:p>
      <w:pPr>
        <w:spacing w:line="500" w:lineRule="exact"/>
        <w:ind w:firstLine="642"/>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6、医教研三辆马车齐头并进“育硕果”。充分依托西南医科大学在医、教、研方面的优质资源，加强学科建设，突出专科特色，从临床、带教教学、医学科研三方面齐头并进，推动医院全面快速发展。</w:t>
      </w:r>
    </w:p>
    <w:p>
      <w:pPr>
        <w:spacing w:line="500" w:lineRule="exact"/>
        <w:ind w:firstLine="642"/>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7、业务、抗疫两手抓，打好攻防兼备“持久战”。抓好新冠病毒肺炎疫情常态防控工作，医院坚决落实各项新冠肺炎疫情防控要求，建立工作机制，力求管控横向到边、纵向到底无死角。</w:t>
      </w:r>
    </w:p>
    <w:p>
      <w:pPr>
        <w:spacing w:line="500" w:lineRule="exact"/>
        <w:ind w:firstLine="642"/>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8、专科建设逐步完善，专科实力逐步提升。2020年完成了市级中医重点专科脾胃病科、结石病科、糖尿病科动态评估，市级重点中医专科建设单位妇产科立项评估，市级临床医学重点专科建设单位检验立项评估。</w:t>
      </w:r>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9、推进智慧医院建设，打造多平台“云服务”。2020年，医院国家电子病历系统功能应用水平分级评达到四级，国家医疗健康信息互联互通标准化成熟度自评达到四级乙等水平。</w:t>
      </w:r>
    </w:p>
    <w:p>
      <w:pPr>
        <w:pStyle w:val="3"/>
        <w:spacing w:line="700" w:lineRule="exact"/>
        <w:rPr>
          <w:rStyle w:val="28"/>
          <w:b w:val="0"/>
          <w:bCs w:val="0"/>
          <w:color w:val="auto"/>
          <w:highlight w:val="none"/>
        </w:rPr>
      </w:pPr>
      <w:r>
        <w:rPr>
          <w:rFonts w:hint="eastAsia" w:ascii="黑体" w:eastAsia="黑体"/>
          <w:b w:val="0"/>
          <w:color w:val="auto"/>
          <w:highlight w:val="none"/>
        </w:rPr>
        <w:t>二、</w:t>
      </w:r>
      <w:r>
        <w:rPr>
          <w:rFonts w:hint="eastAsia" w:ascii="黑体" w:hAnsi="黑体" w:eastAsia="黑体"/>
          <w:b w:val="0"/>
          <w:color w:val="auto"/>
          <w:highlight w:val="none"/>
        </w:rPr>
        <w:t>机</w:t>
      </w:r>
      <w:r>
        <w:rPr>
          <w:rStyle w:val="28"/>
          <w:rFonts w:hint="eastAsia" w:ascii="黑体" w:hAnsi="黑体" w:eastAsia="黑体"/>
          <w:b w:val="0"/>
          <w:bCs w:val="0"/>
          <w:color w:val="auto"/>
          <w:highlight w:val="none"/>
        </w:rPr>
        <w:t>构设置</w:t>
      </w:r>
      <w:bookmarkEnd w:id="20"/>
      <w:bookmarkEnd w:id="21"/>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泸州市中医医院为定项补助事业单位，下属二级单位0个，其中行政单位0个，参照公务员法管理的事业单位0个，其他事业单位0个。 </w:t>
      </w:r>
    </w:p>
    <w:p>
      <w:pPr>
        <w:spacing w:line="700" w:lineRule="exact"/>
        <w:ind w:firstLine="642"/>
        <w:rPr>
          <w:rFonts w:ascii="仿宋" w:hAnsi="仿宋" w:eastAsia="仿宋"/>
          <w:color w:val="auto"/>
          <w:sz w:val="28"/>
          <w:szCs w:val="28"/>
          <w:highlight w:val="none"/>
        </w:rPr>
      </w:pPr>
      <w:r>
        <w:rPr>
          <w:rFonts w:ascii="仿宋" w:hAnsi="仿宋" w:eastAsia="仿宋"/>
          <w:color w:val="auto"/>
          <w:sz w:val="28"/>
          <w:szCs w:val="28"/>
          <w:highlight w:val="none"/>
        </w:rPr>
        <w:br w:type="page"/>
      </w:r>
    </w:p>
    <w:p>
      <w:pPr>
        <w:pStyle w:val="2"/>
        <w:ind w:right="880"/>
        <w:jc w:val="right"/>
        <w:rPr>
          <w:color w:val="auto"/>
          <w:highlight w:val="none"/>
        </w:rPr>
      </w:pPr>
      <w:bookmarkStart w:id="22" w:name="_Toc15396602"/>
      <w:bookmarkStart w:id="23" w:name="_Toc15377204"/>
      <w:r>
        <w:rPr>
          <w:rFonts w:hint="eastAsia" w:ascii="黑体" w:hAnsi="黑体" w:eastAsia="黑体"/>
          <w:b w:val="0"/>
          <w:color w:val="auto"/>
          <w:highlight w:val="none"/>
        </w:rPr>
        <w:t>第二部分</w:t>
      </w:r>
      <w:r>
        <w:rPr>
          <w:rFonts w:hint="eastAsia" w:ascii="黑体" w:hAnsi="黑体" w:eastAsia="黑体"/>
          <w:color w:val="auto"/>
          <w:highlight w:val="none"/>
        </w:rPr>
        <w:t xml:space="preserve"> </w:t>
      </w:r>
      <w:r>
        <w:rPr>
          <w:rStyle w:val="27"/>
          <w:rFonts w:hint="eastAsia" w:ascii="黑体" w:hAnsi="黑体" w:eastAsia="黑体"/>
          <w:b w:val="0"/>
          <w:bCs w:val="0"/>
          <w:color w:val="auto"/>
          <w:highlight w:val="none"/>
          <w:lang w:val="en-US" w:eastAsia="zh-CN"/>
        </w:rPr>
        <w:t>2020</w:t>
      </w:r>
      <w:r>
        <w:rPr>
          <w:rStyle w:val="27"/>
          <w:rFonts w:hint="eastAsia" w:ascii="黑体" w:hAnsi="黑体" w:eastAsia="黑体"/>
          <w:b w:val="0"/>
          <w:bCs w:val="0"/>
          <w:color w:val="auto"/>
          <w:highlight w:val="none"/>
        </w:rPr>
        <w:t>年度部门决算情况说明</w:t>
      </w:r>
      <w:bookmarkEnd w:id="22"/>
      <w:bookmarkEnd w:id="23"/>
    </w:p>
    <w:p>
      <w:pPr>
        <w:pStyle w:val="18"/>
        <w:numPr>
          <w:ilvl w:val="0"/>
          <w:numId w:val="1"/>
        </w:numPr>
        <w:spacing w:line="600" w:lineRule="exact"/>
        <w:ind w:firstLineChars="0"/>
        <w:outlineLvl w:val="1"/>
        <w:rPr>
          <w:rStyle w:val="28"/>
          <w:rFonts w:ascii="黑体" w:hAnsi="黑体" w:eastAsia="黑体"/>
          <w:b w:val="0"/>
          <w:color w:val="auto"/>
          <w:highlight w:val="none"/>
        </w:rPr>
      </w:pPr>
      <w:bookmarkStart w:id="24" w:name="_Toc15377205"/>
      <w:bookmarkStart w:id="25" w:name="_Toc15396603"/>
      <w:r>
        <w:rPr>
          <w:rFonts w:hint="eastAsia" w:ascii="黑体" w:hAnsi="黑体" w:eastAsia="黑体"/>
          <w:color w:val="auto"/>
          <w:sz w:val="32"/>
          <w:szCs w:val="32"/>
          <w:highlight w:val="none"/>
        </w:rPr>
        <w:t>收</w:t>
      </w:r>
      <w:r>
        <w:rPr>
          <w:rStyle w:val="28"/>
          <w:rFonts w:hint="eastAsia" w:ascii="黑体" w:hAnsi="黑体" w:eastAsia="黑体"/>
          <w:b w:val="0"/>
          <w:color w:val="auto"/>
          <w:highlight w:val="none"/>
        </w:rPr>
        <w:t>入支出决算总体情况说明</w:t>
      </w:r>
      <w:bookmarkEnd w:id="24"/>
      <w:bookmarkEnd w:id="25"/>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年度收、支总计</w:t>
      </w:r>
      <w:r>
        <w:rPr>
          <w:rFonts w:hint="eastAsia" w:ascii="仿宋" w:hAnsi="仿宋" w:eastAsia="仿宋" w:cs="仿宋"/>
          <w:color w:val="auto"/>
          <w:sz w:val="28"/>
          <w:szCs w:val="28"/>
          <w:highlight w:val="none"/>
          <w:lang w:val="en-US" w:eastAsia="zh-CN"/>
        </w:rPr>
        <w:t>44757.63</w:t>
      </w:r>
      <w:r>
        <w:rPr>
          <w:rFonts w:hint="eastAsia" w:ascii="仿宋" w:hAnsi="仿宋" w:eastAsia="仿宋" w:cs="仿宋"/>
          <w:color w:val="auto"/>
          <w:sz w:val="28"/>
          <w:szCs w:val="28"/>
          <w:highlight w:val="none"/>
        </w:rPr>
        <w:t>万元(其中</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年度年初结转结余</w:t>
      </w:r>
      <w:r>
        <w:rPr>
          <w:rFonts w:hint="eastAsia" w:ascii="仿宋" w:hAnsi="仿宋" w:eastAsia="仿宋" w:cs="仿宋"/>
          <w:color w:val="auto"/>
          <w:sz w:val="28"/>
          <w:szCs w:val="28"/>
          <w:highlight w:val="none"/>
          <w:lang w:val="en-US" w:eastAsia="zh-CN"/>
        </w:rPr>
        <w:t>216.18</w:t>
      </w:r>
      <w:r>
        <w:rPr>
          <w:rFonts w:hint="eastAsia" w:ascii="仿宋" w:hAnsi="仿宋" w:eastAsia="仿宋" w:cs="仿宋"/>
          <w:color w:val="auto"/>
          <w:sz w:val="28"/>
          <w:szCs w:val="28"/>
          <w:highlight w:val="none"/>
        </w:rPr>
        <w:t>万元），本年收入</w:t>
      </w:r>
      <w:r>
        <w:rPr>
          <w:rFonts w:hint="eastAsia" w:ascii="仿宋" w:hAnsi="仿宋" w:eastAsia="仿宋" w:cs="仿宋"/>
          <w:color w:val="auto"/>
          <w:sz w:val="28"/>
          <w:szCs w:val="28"/>
          <w:highlight w:val="none"/>
          <w:lang w:val="en-US" w:eastAsia="zh-CN"/>
        </w:rPr>
        <w:t>43006.56</w:t>
      </w:r>
      <w:r>
        <w:rPr>
          <w:rFonts w:hint="eastAsia" w:ascii="仿宋" w:hAnsi="仿宋" w:eastAsia="仿宋" w:cs="仿宋"/>
          <w:color w:val="auto"/>
          <w:sz w:val="28"/>
          <w:szCs w:val="28"/>
          <w:highlight w:val="none"/>
        </w:rPr>
        <w:t>万元，本年支出</w:t>
      </w:r>
      <w:r>
        <w:rPr>
          <w:rFonts w:hint="eastAsia" w:ascii="仿宋" w:hAnsi="仿宋" w:eastAsia="仿宋" w:cs="仿宋"/>
          <w:color w:val="auto"/>
          <w:sz w:val="28"/>
          <w:szCs w:val="28"/>
          <w:highlight w:val="none"/>
          <w:lang w:val="en-US" w:eastAsia="zh-CN"/>
        </w:rPr>
        <w:t>44453.58</w:t>
      </w:r>
      <w:r>
        <w:rPr>
          <w:rFonts w:hint="eastAsia" w:ascii="仿宋" w:hAnsi="仿宋" w:eastAsia="仿宋" w:cs="仿宋"/>
          <w:color w:val="auto"/>
          <w:sz w:val="28"/>
          <w:szCs w:val="28"/>
          <w:highlight w:val="none"/>
        </w:rPr>
        <w:t>万元，结余分配</w:t>
      </w:r>
      <w:r>
        <w:rPr>
          <w:rFonts w:hint="eastAsia" w:ascii="仿宋" w:hAnsi="仿宋" w:eastAsia="仿宋" w:cs="仿宋"/>
          <w:color w:val="auto"/>
          <w:sz w:val="28"/>
          <w:szCs w:val="28"/>
          <w:highlight w:val="none"/>
          <w:lang w:val="en-US" w:eastAsia="zh-CN"/>
        </w:rPr>
        <w:t>63.45</w:t>
      </w:r>
      <w:r>
        <w:rPr>
          <w:rFonts w:hint="eastAsia" w:ascii="仿宋" w:hAnsi="仿宋" w:eastAsia="仿宋" w:cs="仿宋"/>
          <w:color w:val="auto"/>
          <w:sz w:val="28"/>
          <w:szCs w:val="28"/>
          <w:highlight w:val="none"/>
        </w:rPr>
        <w:t>万元，年末结转和结余</w:t>
      </w:r>
      <w:r>
        <w:rPr>
          <w:rFonts w:hint="eastAsia" w:ascii="仿宋" w:hAnsi="仿宋" w:eastAsia="仿宋" w:cs="仿宋"/>
          <w:color w:val="auto"/>
          <w:sz w:val="28"/>
          <w:szCs w:val="28"/>
          <w:highlight w:val="none"/>
          <w:lang w:val="en-US" w:eastAsia="zh-CN"/>
        </w:rPr>
        <w:t>240.60</w:t>
      </w:r>
      <w:r>
        <w:rPr>
          <w:rFonts w:hint="eastAsia" w:ascii="仿宋" w:hAnsi="仿宋" w:eastAsia="仿宋" w:cs="仿宋"/>
          <w:color w:val="auto"/>
          <w:sz w:val="28"/>
          <w:szCs w:val="28"/>
          <w:highlight w:val="none"/>
        </w:rPr>
        <w:t>万元）。与上年相比，收、支总计</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lang w:val="en-US" w:eastAsia="zh-CN"/>
        </w:rPr>
        <w:t>3186.17</w:t>
      </w:r>
      <w:r>
        <w:rPr>
          <w:rFonts w:hint="eastAsia" w:ascii="仿宋" w:hAnsi="仿宋" w:eastAsia="仿宋" w:cs="仿宋"/>
          <w:color w:val="auto"/>
          <w:sz w:val="28"/>
          <w:szCs w:val="28"/>
          <w:highlight w:val="none"/>
        </w:rPr>
        <w:t>万元，</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lang w:val="en-US" w:eastAsia="zh-CN"/>
        </w:rPr>
        <w:t>6.65</w:t>
      </w:r>
      <w:r>
        <w:rPr>
          <w:rFonts w:hint="eastAsia" w:ascii="仿宋" w:hAnsi="仿宋" w:eastAsia="仿宋" w:cs="仿宋"/>
          <w:color w:val="auto"/>
          <w:sz w:val="28"/>
          <w:szCs w:val="28"/>
          <w:highlight w:val="none"/>
        </w:rPr>
        <w:t>%。主要变动原因是事业收入比上年</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lang w:val="en-US" w:eastAsia="zh-CN"/>
        </w:rPr>
        <w:t>5376.05</w:t>
      </w:r>
      <w:r>
        <w:rPr>
          <w:rFonts w:hint="eastAsia" w:ascii="仿宋" w:hAnsi="仿宋" w:eastAsia="仿宋" w:cs="仿宋"/>
          <w:color w:val="auto"/>
          <w:sz w:val="28"/>
          <w:szCs w:val="28"/>
          <w:highlight w:val="none"/>
        </w:rPr>
        <w:t>万元。</w:t>
      </w:r>
    </w:p>
    <w:p>
      <w:pPr>
        <w:pStyle w:val="18"/>
        <w:numPr>
          <w:ilvl w:val="0"/>
          <w:numId w:val="1"/>
        </w:numPr>
        <w:spacing w:line="600" w:lineRule="exact"/>
        <w:ind w:firstLineChars="0"/>
        <w:outlineLvl w:val="1"/>
        <w:rPr>
          <w:rStyle w:val="28"/>
          <w:rFonts w:ascii="黑体" w:hAnsi="黑体" w:eastAsia="黑体"/>
          <w:b w:val="0"/>
          <w:color w:val="auto"/>
          <w:highlight w:val="none"/>
        </w:rPr>
      </w:pPr>
      <w:bookmarkStart w:id="26" w:name="_Toc15396604"/>
      <w:bookmarkStart w:id="27" w:name="_Toc15377206"/>
      <w:r>
        <w:rPr>
          <w:rFonts w:hint="eastAsia" w:ascii="黑体" w:hAnsi="黑体" w:eastAsia="黑体"/>
          <w:color w:val="auto"/>
          <w:sz w:val="32"/>
          <w:szCs w:val="32"/>
          <w:highlight w:val="none"/>
        </w:rPr>
        <w:t>收</w:t>
      </w:r>
      <w:r>
        <w:rPr>
          <w:rStyle w:val="28"/>
          <w:rFonts w:hint="eastAsia" w:ascii="黑体" w:hAnsi="黑体" w:eastAsia="黑体"/>
          <w:b w:val="0"/>
          <w:color w:val="auto"/>
          <w:highlight w:val="none"/>
        </w:rPr>
        <w:t>入决算情况说明</w:t>
      </w:r>
      <w:bookmarkEnd w:id="26"/>
      <w:bookmarkEnd w:id="27"/>
    </w:p>
    <w:p>
      <w:pPr>
        <w:spacing w:line="500" w:lineRule="exact"/>
        <w:ind w:firstLine="642"/>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年本年收入合计</w:t>
      </w:r>
      <w:r>
        <w:rPr>
          <w:rFonts w:hint="eastAsia" w:ascii="仿宋" w:hAnsi="仿宋" w:eastAsia="仿宋" w:cs="仿宋"/>
          <w:color w:val="auto"/>
          <w:sz w:val="28"/>
          <w:szCs w:val="28"/>
          <w:highlight w:val="none"/>
          <w:lang w:val="en-US" w:eastAsia="zh-CN"/>
        </w:rPr>
        <w:t>43006.56</w:t>
      </w:r>
      <w:r>
        <w:rPr>
          <w:rFonts w:hint="eastAsia" w:ascii="仿宋" w:hAnsi="仿宋" w:eastAsia="仿宋" w:cs="仿宋"/>
          <w:color w:val="auto"/>
          <w:sz w:val="28"/>
          <w:szCs w:val="28"/>
          <w:highlight w:val="none"/>
        </w:rPr>
        <w:t>万元，其中：一般公共预算财政拨款收入</w:t>
      </w:r>
      <w:r>
        <w:rPr>
          <w:rFonts w:hint="eastAsia" w:ascii="仿宋" w:hAnsi="仿宋" w:eastAsia="仿宋" w:cs="仿宋"/>
          <w:color w:val="auto"/>
          <w:sz w:val="28"/>
          <w:szCs w:val="28"/>
          <w:highlight w:val="none"/>
          <w:lang w:val="en-US" w:eastAsia="zh-CN"/>
        </w:rPr>
        <w:t>2206.26</w:t>
      </w:r>
      <w:r>
        <w:rPr>
          <w:rFonts w:hint="eastAsia" w:ascii="仿宋" w:hAnsi="仿宋" w:eastAsia="仿宋" w:cs="仿宋"/>
          <w:color w:val="auto"/>
          <w:sz w:val="28"/>
          <w:szCs w:val="28"/>
          <w:highlight w:val="none"/>
        </w:rPr>
        <w:t>万元，占</w:t>
      </w:r>
      <w:r>
        <w:rPr>
          <w:rFonts w:hint="eastAsia" w:ascii="仿宋" w:hAnsi="仿宋" w:eastAsia="仿宋" w:cs="仿宋"/>
          <w:color w:val="auto"/>
          <w:sz w:val="28"/>
          <w:szCs w:val="28"/>
          <w:highlight w:val="none"/>
          <w:lang w:val="en-US" w:eastAsia="zh-CN"/>
        </w:rPr>
        <w:t>5.13</w:t>
      </w:r>
      <w:r>
        <w:rPr>
          <w:rFonts w:hint="eastAsia" w:ascii="仿宋" w:hAnsi="仿宋" w:eastAsia="仿宋" w:cs="仿宋"/>
          <w:color w:val="auto"/>
          <w:sz w:val="28"/>
          <w:szCs w:val="28"/>
          <w:highlight w:val="none"/>
        </w:rPr>
        <w:t>%；政府性基金预算财政拨款收入</w:t>
      </w:r>
      <w:r>
        <w:rPr>
          <w:rFonts w:hint="eastAsia" w:ascii="仿宋" w:hAnsi="仿宋" w:eastAsia="仿宋" w:cs="仿宋"/>
          <w:color w:val="auto"/>
          <w:sz w:val="28"/>
          <w:szCs w:val="28"/>
          <w:highlight w:val="none"/>
          <w:lang w:val="en-US" w:eastAsia="zh-CN"/>
        </w:rPr>
        <w:t>1316.89</w:t>
      </w:r>
      <w:r>
        <w:rPr>
          <w:rFonts w:hint="eastAsia" w:ascii="仿宋" w:hAnsi="仿宋" w:eastAsia="仿宋" w:cs="仿宋"/>
          <w:color w:val="auto"/>
          <w:sz w:val="28"/>
          <w:szCs w:val="28"/>
          <w:highlight w:val="none"/>
        </w:rPr>
        <w:t>万元，占</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上级补助收入</w:t>
      </w:r>
      <w:r>
        <w:rPr>
          <w:rFonts w:hint="eastAsia" w:ascii="仿宋" w:hAnsi="仿宋" w:eastAsia="仿宋" w:cs="仿宋"/>
          <w:color w:val="auto"/>
          <w:sz w:val="28"/>
          <w:szCs w:val="28"/>
          <w:highlight w:val="none"/>
          <w:lang w:val="en-US" w:eastAsia="zh-CN"/>
        </w:rPr>
        <w:t>0万元，占比0%；</w:t>
      </w:r>
      <w:r>
        <w:rPr>
          <w:rFonts w:hint="eastAsia" w:ascii="仿宋" w:hAnsi="仿宋" w:eastAsia="仿宋" w:cs="仿宋"/>
          <w:color w:val="auto"/>
          <w:sz w:val="28"/>
          <w:szCs w:val="28"/>
          <w:highlight w:val="none"/>
        </w:rPr>
        <w:t>事业收入</w:t>
      </w:r>
      <w:r>
        <w:rPr>
          <w:rFonts w:hint="eastAsia" w:ascii="仿宋" w:hAnsi="仿宋" w:eastAsia="仿宋" w:cs="仿宋"/>
          <w:color w:val="auto"/>
          <w:sz w:val="28"/>
          <w:szCs w:val="28"/>
          <w:highlight w:val="none"/>
          <w:lang w:val="en-US" w:eastAsia="zh-CN"/>
        </w:rPr>
        <w:t>39187.95</w:t>
      </w:r>
      <w:r>
        <w:rPr>
          <w:rFonts w:hint="eastAsia" w:ascii="仿宋" w:hAnsi="仿宋" w:eastAsia="仿宋" w:cs="仿宋"/>
          <w:color w:val="auto"/>
          <w:sz w:val="28"/>
          <w:szCs w:val="28"/>
          <w:highlight w:val="none"/>
        </w:rPr>
        <w:t>万元，占</w:t>
      </w:r>
      <w:r>
        <w:rPr>
          <w:rFonts w:hint="eastAsia" w:ascii="仿宋" w:hAnsi="仿宋" w:eastAsia="仿宋" w:cs="仿宋"/>
          <w:color w:val="auto"/>
          <w:sz w:val="28"/>
          <w:szCs w:val="28"/>
          <w:highlight w:val="none"/>
          <w:lang w:val="en-US" w:eastAsia="zh-CN"/>
        </w:rPr>
        <w:t>91.12</w:t>
      </w:r>
      <w:r>
        <w:rPr>
          <w:rFonts w:hint="eastAsia" w:ascii="仿宋" w:hAnsi="仿宋" w:eastAsia="仿宋" w:cs="仿宋"/>
          <w:color w:val="auto"/>
          <w:sz w:val="28"/>
          <w:szCs w:val="28"/>
          <w:highlight w:val="none"/>
        </w:rPr>
        <w:t>%；经营收入0万元，占0%；附属单位上缴收入0万元，占0%；其他收入</w:t>
      </w:r>
      <w:r>
        <w:rPr>
          <w:rFonts w:hint="eastAsia" w:ascii="仿宋" w:hAnsi="仿宋" w:eastAsia="仿宋" w:cs="仿宋"/>
          <w:color w:val="auto"/>
          <w:sz w:val="28"/>
          <w:szCs w:val="28"/>
          <w:highlight w:val="none"/>
          <w:lang w:val="en-US" w:eastAsia="zh-CN"/>
        </w:rPr>
        <w:t>295.46</w:t>
      </w:r>
      <w:r>
        <w:rPr>
          <w:rFonts w:hint="eastAsia" w:ascii="仿宋" w:hAnsi="仿宋" w:eastAsia="仿宋" w:cs="仿宋"/>
          <w:color w:val="auto"/>
          <w:sz w:val="28"/>
          <w:szCs w:val="28"/>
          <w:highlight w:val="none"/>
        </w:rPr>
        <w:t>万元，占</w:t>
      </w:r>
      <w:r>
        <w:rPr>
          <w:rFonts w:hint="eastAsia" w:ascii="仿宋" w:hAnsi="仿宋" w:eastAsia="仿宋" w:cs="仿宋"/>
          <w:color w:val="auto"/>
          <w:sz w:val="28"/>
          <w:szCs w:val="28"/>
          <w:highlight w:val="none"/>
          <w:lang w:val="en-US" w:eastAsia="zh-CN"/>
        </w:rPr>
        <w:t>0.69</w:t>
      </w:r>
      <w:r>
        <w:rPr>
          <w:rFonts w:hint="eastAsia" w:ascii="仿宋" w:hAnsi="仿宋" w:eastAsia="仿宋" w:cs="仿宋"/>
          <w:color w:val="auto"/>
          <w:sz w:val="28"/>
          <w:szCs w:val="28"/>
          <w:highlight w:val="none"/>
        </w:rPr>
        <w:t>%。</w:t>
      </w:r>
    </w:p>
    <w:p>
      <w:pPr>
        <w:pStyle w:val="18"/>
        <w:numPr>
          <w:ilvl w:val="0"/>
          <w:numId w:val="1"/>
        </w:numPr>
        <w:spacing w:line="600" w:lineRule="exact"/>
        <w:ind w:firstLineChars="0"/>
        <w:outlineLvl w:val="1"/>
        <w:rPr>
          <w:rStyle w:val="28"/>
          <w:rFonts w:ascii="黑体" w:hAnsi="黑体" w:eastAsia="黑体"/>
          <w:b w:val="0"/>
          <w:color w:val="auto"/>
          <w:highlight w:val="none"/>
        </w:rPr>
      </w:pPr>
      <w:bookmarkStart w:id="28" w:name="_Toc15377207"/>
      <w:bookmarkStart w:id="29" w:name="_Toc15396605"/>
      <w:r>
        <w:rPr>
          <w:rFonts w:hint="eastAsia" w:ascii="黑体" w:hAnsi="黑体" w:eastAsia="黑体"/>
          <w:color w:val="auto"/>
          <w:sz w:val="32"/>
          <w:szCs w:val="32"/>
          <w:highlight w:val="none"/>
        </w:rPr>
        <w:t>支</w:t>
      </w:r>
      <w:r>
        <w:rPr>
          <w:rStyle w:val="28"/>
          <w:rFonts w:hint="eastAsia" w:ascii="黑体" w:hAnsi="黑体" w:eastAsia="黑体"/>
          <w:b w:val="0"/>
          <w:color w:val="auto"/>
          <w:highlight w:val="none"/>
        </w:rPr>
        <w:t>出决算情况说明</w:t>
      </w:r>
      <w:bookmarkEnd w:id="28"/>
      <w:bookmarkEnd w:id="29"/>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年本年支出合计</w:t>
      </w:r>
      <w:r>
        <w:rPr>
          <w:rFonts w:hint="eastAsia" w:ascii="仿宋" w:hAnsi="仿宋" w:eastAsia="仿宋" w:cs="仿宋"/>
          <w:color w:val="auto"/>
          <w:sz w:val="28"/>
          <w:szCs w:val="28"/>
          <w:highlight w:val="none"/>
          <w:lang w:val="en-US" w:eastAsia="zh-CN"/>
        </w:rPr>
        <w:t>44453.58</w:t>
      </w:r>
      <w:r>
        <w:rPr>
          <w:rFonts w:hint="eastAsia" w:ascii="仿宋" w:hAnsi="仿宋" w:eastAsia="仿宋" w:cs="仿宋"/>
          <w:color w:val="auto"/>
          <w:sz w:val="28"/>
          <w:szCs w:val="28"/>
          <w:highlight w:val="none"/>
        </w:rPr>
        <w:t>万元，其中：基本支出</w:t>
      </w:r>
      <w:r>
        <w:rPr>
          <w:rFonts w:hint="eastAsia" w:ascii="仿宋" w:hAnsi="仿宋" w:eastAsia="仿宋" w:cs="仿宋"/>
          <w:color w:val="auto"/>
          <w:sz w:val="28"/>
          <w:szCs w:val="28"/>
          <w:highlight w:val="none"/>
          <w:lang w:val="en-US" w:eastAsia="zh-CN"/>
        </w:rPr>
        <w:t>41450.24</w:t>
      </w:r>
      <w:r>
        <w:rPr>
          <w:rFonts w:hint="eastAsia" w:ascii="仿宋" w:hAnsi="仿宋" w:eastAsia="仿宋" w:cs="仿宋"/>
          <w:color w:val="auto"/>
          <w:sz w:val="28"/>
          <w:szCs w:val="28"/>
          <w:highlight w:val="none"/>
        </w:rPr>
        <w:t>万元，占</w:t>
      </w:r>
      <w:r>
        <w:rPr>
          <w:rFonts w:hint="eastAsia" w:ascii="仿宋" w:hAnsi="仿宋" w:eastAsia="仿宋" w:cs="仿宋"/>
          <w:color w:val="auto"/>
          <w:sz w:val="28"/>
          <w:szCs w:val="28"/>
          <w:highlight w:val="none"/>
          <w:lang w:val="en-US" w:eastAsia="zh-CN"/>
        </w:rPr>
        <w:t>93.24</w:t>
      </w:r>
      <w:r>
        <w:rPr>
          <w:rFonts w:hint="eastAsia" w:ascii="仿宋" w:hAnsi="仿宋" w:eastAsia="仿宋" w:cs="仿宋"/>
          <w:color w:val="auto"/>
          <w:sz w:val="28"/>
          <w:szCs w:val="28"/>
          <w:highlight w:val="none"/>
        </w:rPr>
        <w:t>%；项目支出</w:t>
      </w:r>
      <w:r>
        <w:rPr>
          <w:rFonts w:hint="eastAsia" w:ascii="仿宋" w:hAnsi="仿宋" w:eastAsia="仿宋" w:cs="仿宋"/>
          <w:color w:val="auto"/>
          <w:sz w:val="28"/>
          <w:szCs w:val="28"/>
          <w:highlight w:val="none"/>
          <w:lang w:val="en-US" w:eastAsia="zh-CN"/>
        </w:rPr>
        <w:t>3003.34</w:t>
      </w:r>
      <w:r>
        <w:rPr>
          <w:rFonts w:hint="eastAsia" w:ascii="仿宋" w:hAnsi="仿宋" w:eastAsia="仿宋" w:cs="仿宋"/>
          <w:color w:val="auto"/>
          <w:sz w:val="28"/>
          <w:szCs w:val="28"/>
          <w:highlight w:val="none"/>
        </w:rPr>
        <w:t>万元，占</w:t>
      </w:r>
      <w:r>
        <w:rPr>
          <w:rFonts w:hint="eastAsia" w:ascii="仿宋" w:hAnsi="仿宋" w:eastAsia="仿宋" w:cs="仿宋"/>
          <w:color w:val="auto"/>
          <w:sz w:val="28"/>
          <w:szCs w:val="28"/>
          <w:highlight w:val="none"/>
          <w:lang w:val="en-US" w:eastAsia="zh-CN"/>
        </w:rPr>
        <w:t>6.76</w:t>
      </w:r>
      <w:r>
        <w:rPr>
          <w:rFonts w:hint="eastAsia" w:ascii="仿宋" w:hAnsi="仿宋" w:eastAsia="仿宋" w:cs="仿宋"/>
          <w:color w:val="auto"/>
          <w:sz w:val="28"/>
          <w:szCs w:val="28"/>
          <w:highlight w:val="none"/>
        </w:rPr>
        <w:t>%；上缴上级支出0万元，占0%；经营支出0万元，占0%；对附属单位补助支出0万元，占0%。</w:t>
      </w:r>
    </w:p>
    <w:p>
      <w:pPr>
        <w:spacing w:line="600" w:lineRule="exact"/>
        <w:ind w:firstLine="640" w:firstLineChars="200"/>
        <w:outlineLvl w:val="1"/>
        <w:rPr>
          <w:rStyle w:val="28"/>
          <w:rFonts w:ascii="黑体" w:hAnsi="黑体" w:eastAsia="黑体"/>
          <w:b w:val="0"/>
          <w:color w:val="auto"/>
          <w:highlight w:val="none"/>
        </w:rPr>
      </w:pPr>
      <w:bookmarkStart w:id="30" w:name="_Toc15396606"/>
      <w:bookmarkStart w:id="31" w:name="_Toc15377208"/>
      <w:r>
        <w:rPr>
          <w:rFonts w:hint="eastAsia" w:ascii="黑体" w:hAnsi="黑体" w:eastAsia="黑体"/>
          <w:color w:val="auto"/>
          <w:sz w:val="32"/>
          <w:szCs w:val="32"/>
          <w:highlight w:val="none"/>
        </w:rPr>
        <w:t>四、财</w:t>
      </w:r>
      <w:r>
        <w:rPr>
          <w:rStyle w:val="28"/>
          <w:rFonts w:hint="eastAsia" w:ascii="黑体" w:hAnsi="黑体" w:eastAsia="黑体"/>
          <w:b w:val="0"/>
          <w:color w:val="auto"/>
          <w:highlight w:val="none"/>
        </w:rPr>
        <w:t>政拨款收入支出决算总体情况说明</w:t>
      </w:r>
      <w:bookmarkEnd w:id="30"/>
      <w:bookmarkEnd w:id="31"/>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年财政拨款收、支总计</w:t>
      </w:r>
      <w:r>
        <w:rPr>
          <w:rFonts w:hint="eastAsia" w:ascii="仿宋" w:hAnsi="仿宋" w:eastAsia="仿宋" w:cs="仿宋"/>
          <w:color w:val="auto"/>
          <w:sz w:val="28"/>
          <w:szCs w:val="28"/>
          <w:highlight w:val="none"/>
          <w:lang w:val="en-US" w:eastAsia="zh-CN"/>
        </w:rPr>
        <w:t>3523.15</w:t>
      </w:r>
      <w:r>
        <w:rPr>
          <w:rFonts w:hint="eastAsia" w:ascii="仿宋" w:hAnsi="仿宋" w:eastAsia="仿宋" w:cs="仿宋"/>
          <w:color w:val="auto"/>
          <w:sz w:val="28"/>
          <w:szCs w:val="28"/>
          <w:highlight w:val="none"/>
        </w:rPr>
        <w:t>万元。与201</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年相比，财政拨款收、支总计增加</w:t>
      </w:r>
      <w:r>
        <w:rPr>
          <w:rFonts w:hint="eastAsia" w:ascii="仿宋" w:hAnsi="仿宋" w:eastAsia="仿宋" w:cs="仿宋"/>
          <w:color w:val="auto"/>
          <w:sz w:val="28"/>
          <w:szCs w:val="28"/>
          <w:highlight w:val="none"/>
          <w:lang w:val="en-US" w:eastAsia="zh-CN"/>
        </w:rPr>
        <w:t>642.32</w:t>
      </w:r>
      <w:r>
        <w:rPr>
          <w:rFonts w:hint="eastAsia" w:ascii="仿宋" w:hAnsi="仿宋" w:eastAsia="仿宋" w:cs="仿宋"/>
          <w:color w:val="auto"/>
          <w:sz w:val="28"/>
          <w:szCs w:val="28"/>
          <w:highlight w:val="none"/>
        </w:rPr>
        <w:t>万元，增加</w:t>
      </w:r>
      <w:r>
        <w:rPr>
          <w:rFonts w:hint="eastAsia" w:ascii="仿宋" w:hAnsi="仿宋" w:eastAsia="仿宋" w:cs="仿宋"/>
          <w:color w:val="auto"/>
          <w:sz w:val="28"/>
          <w:szCs w:val="28"/>
          <w:highlight w:val="none"/>
          <w:lang w:val="en-US" w:eastAsia="zh-CN"/>
        </w:rPr>
        <w:t>22.3</w:t>
      </w:r>
      <w:r>
        <w:rPr>
          <w:rFonts w:hint="eastAsia" w:ascii="仿宋" w:hAnsi="仿宋" w:eastAsia="仿宋" w:cs="仿宋"/>
          <w:color w:val="auto"/>
          <w:sz w:val="28"/>
          <w:szCs w:val="28"/>
          <w:highlight w:val="none"/>
        </w:rPr>
        <w:t>%。主要变动原因是本年度增加财政拨款收入新院建设</w:t>
      </w:r>
      <w:r>
        <w:rPr>
          <w:rFonts w:hint="eastAsia" w:ascii="仿宋" w:hAnsi="仿宋" w:eastAsia="仿宋" w:cs="仿宋"/>
          <w:color w:val="auto"/>
          <w:sz w:val="28"/>
          <w:szCs w:val="28"/>
          <w:highlight w:val="none"/>
          <w:lang w:eastAsia="zh-CN"/>
        </w:rPr>
        <w:t>设备购置</w:t>
      </w:r>
      <w:r>
        <w:rPr>
          <w:rFonts w:hint="eastAsia" w:ascii="仿宋" w:hAnsi="仿宋" w:eastAsia="仿宋" w:cs="仿宋"/>
          <w:color w:val="auto"/>
          <w:sz w:val="28"/>
          <w:szCs w:val="28"/>
          <w:highlight w:val="none"/>
        </w:rPr>
        <w:t>经费</w:t>
      </w:r>
      <w:r>
        <w:rPr>
          <w:rFonts w:hint="eastAsia" w:ascii="仿宋" w:hAnsi="仿宋" w:eastAsia="仿宋" w:cs="仿宋"/>
          <w:color w:val="auto"/>
          <w:sz w:val="28"/>
          <w:szCs w:val="28"/>
          <w:highlight w:val="none"/>
          <w:lang w:val="en-US" w:eastAsia="zh-CN"/>
        </w:rPr>
        <w:t>1316.89</w:t>
      </w:r>
      <w:r>
        <w:rPr>
          <w:rFonts w:hint="eastAsia" w:ascii="仿宋" w:hAnsi="仿宋" w:eastAsia="仿宋" w:cs="仿宋"/>
          <w:color w:val="auto"/>
          <w:sz w:val="28"/>
          <w:szCs w:val="28"/>
          <w:highlight w:val="none"/>
        </w:rPr>
        <w:t>万元</w:t>
      </w:r>
      <w:r>
        <w:rPr>
          <w:rFonts w:hint="eastAsia" w:ascii="仿宋" w:hAnsi="仿宋" w:eastAsia="仿宋" w:cs="仿宋"/>
          <w:color w:val="auto"/>
          <w:sz w:val="28"/>
          <w:szCs w:val="28"/>
          <w:highlight w:val="none"/>
          <w:lang w:eastAsia="zh-CN"/>
        </w:rPr>
        <w:t>，减少了医疗服务能务提升（住院医师规范化培训）</w:t>
      </w:r>
      <w:r>
        <w:rPr>
          <w:rFonts w:hint="eastAsia" w:ascii="仿宋" w:hAnsi="仿宋" w:eastAsia="仿宋" w:cs="仿宋"/>
          <w:color w:val="auto"/>
          <w:sz w:val="28"/>
          <w:szCs w:val="28"/>
          <w:highlight w:val="none"/>
          <w:lang w:val="en-US" w:eastAsia="zh-CN"/>
        </w:rPr>
        <w:t>419.66万元及新院建设人才储备250万元</w:t>
      </w:r>
      <w:r>
        <w:rPr>
          <w:rFonts w:hint="eastAsia" w:ascii="仿宋" w:hAnsi="仿宋" w:eastAsia="仿宋" w:cs="仿宋"/>
          <w:color w:val="auto"/>
          <w:sz w:val="28"/>
          <w:szCs w:val="28"/>
          <w:highlight w:val="none"/>
        </w:rPr>
        <w:t>等。</w:t>
      </w:r>
    </w:p>
    <w:p>
      <w:pPr>
        <w:spacing w:line="500" w:lineRule="exact"/>
        <w:ind w:firstLine="642"/>
        <w:rPr>
          <w:rFonts w:hint="eastAsia" w:ascii="仿宋" w:hAnsi="仿宋" w:eastAsia="仿宋" w:cs="仿宋"/>
          <w:color w:val="auto"/>
          <w:sz w:val="28"/>
          <w:szCs w:val="28"/>
          <w:highlight w:val="none"/>
        </w:rPr>
      </w:pPr>
    </w:p>
    <w:p>
      <w:pPr>
        <w:spacing w:line="600" w:lineRule="exact"/>
        <w:ind w:firstLine="640" w:firstLineChars="200"/>
        <w:outlineLvl w:val="1"/>
        <w:rPr>
          <w:rStyle w:val="28"/>
          <w:rFonts w:ascii="黑体" w:hAnsi="黑体" w:eastAsia="黑体"/>
          <w:b w:val="0"/>
          <w:color w:val="auto"/>
          <w:highlight w:val="none"/>
        </w:rPr>
      </w:pPr>
      <w:bookmarkStart w:id="32" w:name="_Toc15396607"/>
      <w:bookmarkStart w:id="33" w:name="_Toc15377209"/>
      <w:r>
        <w:rPr>
          <w:rFonts w:hint="eastAsia" w:ascii="黑体" w:hAnsi="黑体" w:eastAsia="黑体"/>
          <w:color w:val="auto"/>
          <w:sz w:val="32"/>
          <w:szCs w:val="32"/>
          <w:highlight w:val="none"/>
        </w:rPr>
        <w:t>五、</w:t>
      </w:r>
      <w:r>
        <w:rPr>
          <w:rFonts w:hint="eastAsia" w:ascii="黑体" w:hAnsi="黑体" w:eastAsia="黑体"/>
          <w:b/>
          <w:color w:val="auto"/>
          <w:sz w:val="32"/>
          <w:szCs w:val="32"/>
          <w:highlight w:val="none"/>
        </w:rPr>
        <w:t>一</w:t>
      </w:r>
      <w:r>
        <w:rPr>
          <w:rStyle w:val="28"/>
          <w:rFonts w:hint="eastAsia" w:ascii="黑体" w:hAnsi="黑体" w:eastAsia="黑体"/>
          <w:b w:val="0"/>
          <w:color w:val="auto"/>
          <w:highlight w:val="none"/>
        </w:rPr>
        <w:t>般公共预算财政拨款支出决算情况说明</w:t>
      </w:r>
      <w:bookmarkEnd w:id="32"/>
      <w:bookmarkEnd w:id="33"/>
    </w:p>
    <w:p>
      <w:pPr>
        <w:spacing w:line="700" w:lineRule="exact"/>
        <w:ind w:firstLine="642"/>
        <w:rPr>
          <w:rFonts w:hint="eastAsia" w:ascii="仿宋" w:hAnsi="仿宋" w:eastAsia="仿宋"/>
          <w:b/>
          <w:color w:val="auto"/>
          <w:sz w:val="32"/>
          <w:szCs w:val="32"/>
          <w:highlight w:val="none"/>
        </w:rPr>
      </w:pPr>
      <w:bookmarkStart w:id="34" w:name="_Toc15377210"/>
      <w:r>
        <w:rPr>
          <w:rFonts w:hint="eastAsia" w:ascii="仿宋" w:hAnsi="仿宋" w:eastAsia="仿宋"/>
          <w:color w:val="auto"/>
          <w:sz w:val="28"/>
          <w:szCs w:val="28"/>
          <w:highlight w:val="none"/>
        </w:rPr>
        <w:t>（一）</w:t>
      </w:r>
      <w:r>
        <w:rPr>
          <w:rFonts w:hint="eastAsia" w:ascii="仿宋" w:hAnsi="仿宋" w:eastAsia="仿宋"/>
          <w:b/>
          <w:color w:val="auto"/>
          <w:sz w:val="32"/>
          <w:szCs w:val="32"/>
          <w:highlight w:val="none"/>
        </w:rPr>
        <w:t>一般公共预算财政拨款支出决算总体情况</w:t>
      </w:r>
      <w:bookmarkEnd w:id="34"/>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年一般公共预算财政拨款支出</w:t>
      </w:r>
      <w:r>
        <w:rPr>
          <w:rFonts w:hint="eastAsia" w:ascii="仿宋" w:hAnsi="仿宋" w:eastAsia="仿宋" w:cs="仿宋"/>
          <w:color w:val="auto"/>
          <w:sz w:val="28"/>
          <w:szCs w:val="28"/>
          <w:highlight w:val="none"/>
          <w:lang w:val="en-US" w:eastAsia="zh-CN"/>
        </w:rPr>
        <w:t>2177.49</w:t>
      </w:r>
      <w:r>
        <w:rPr>
          <w:rFonts w:hint="eastAsia" w:ascii="仿宋" w:hAnsi="仿宋" w:eastAsia="仿宋" w:cs="仿宋"/>
          <w:color w:val="auto"/>
          <w:sz w:val="28"/>
          <w:szCs w:val="28"/>
          <w:highlight w:val="none"/>
        </w:rPr>
        <w:t>万元，占本年支出合计的</w:t>
      </w:r>
      <w:r>
        <w:rPr>
          <w:rFonts w:hint="eastAsia" w:ascii="仿宋" w:hAnsi="仿宋" w:eastAsia="仿宋" w:cs="仿宋"/>
          <w:color w:val="auto"/>
          <w:sz w:val="28"/>
          <w:szCs w:val="28"/>
          <w:highlight w:val="none"/>
          <w:lang w:val="en-US" w:eastAsia="zh-CN"/>
        </w:rPr>
        <w:t>4.90</w:t>
      </w:r>
      <w:r>
        <w:rPr>
          <w:rFonts w:hint="eastAsia" w:ascii="仿宋" w:hAnsi="仿宋" w:eastAsia="仿宋" w:cs="仿宋"/>
          <w:color w:val="auto"/>
          <w:sz w:val="28"/>
          <w:szCs w:val="28"/>
          <w:highlight w:val="none"/>
        </w:rPr>
        <w:t>%。与201</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年相比，一般公共预算财政拨款</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lang w:val="en-US" w:eastAsia="zh-CN"/>
        </w:rPr>
        <w:t>787.59</w:t>
      </w:r>
      <w:r>
        <w:rPr>
          <w:rFonts w:hint="eastAsia" w:ascii="仿宋" w:hAnsi="仿宋" w:eastAsia="仿宋" w:cs="仿宋"/>
          <w:color w:val="auto"/>
          <w:sz w:val="28"/>
          <w:szCs w:val="28"/>
          <w:highlight w:val="none"/>
        </w:rPr>
        <w:t>万元，</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lang w:val="en-US" w:eastAsia="zh-CN"/>
        </w:rPr>
        <w:t>26.56</w:t>
      </w:r>
      <w:r>
        <w:rPr>
          <w:rFonts w:hint="eastAsia" w:ascii="仿宋" w:hAnsi="仿宋" w:eastAsia="仿宋" w:cs="仿宋"/>
          <w:color w:val="auto"/>
          <w:sz w:val="28"/>
          <w:szCs w:val="28"/>
          <w:highlight w:val="none"/>
        </w:rPr>
        <w:t>%。主要变动原因是本年度财政拨款收入</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rPr>
        <w:t>，如</w:t>
      </w:r>
      <w:r>
        <w:rPr>
          <w:rFonts w:hint="eastAsia" w:ascii="仿宋" w:hAnsi="仿宋" w:eastAsia="仿宋" w:cs="仿宋"/>
          <w:color w:val="auto"/>
          <w:sz w:val="28"/>
          <w:szCs w:val="28"/>
          <w:highlight w:val="none"/>
          <w:lang w:eastAsia="zh-CN"/>
        </w:rPr>
        <w:t>减少</w:t>
      </w:r>
      <w:r>
        <w:rPr>
          <w:rFonts w:hint="eastAsia" w:ascii="仿宋" w:hAnsi="仿宋" w:eastAsia="仿宋" w:cs="仿宋"/>
          <w:color w:val="auto"/>
          <w:sz w:val="28"/>
          <w:szCs w:val="28"/>
          <w:highlight w:val="none"/>
        </w:rPr>
        <w:t>新院建设人才储备经费250万元、</w:t>
      </w:r>
      <w:r>
        <w:rPr>
          <w:rFonts w:hint="eastAsia" w:ascii="仿宋" w:hAnsi="仿宋" w:eastAsia="仿宋" w:cs="仿宋"/>
          <w:color w:val="auto"/>
          <w:sz w:val="28"/>
          <w:szCs w:val="28"/>
          <w:highlight w:val="none"/>
          <w:lang w:eastAsia="zh-CN"/>
        </w:rPr>
        <w:t>医疗服务能务提升（住院医师规范化培训）</w:t>
      </w:r>
      <w:r>
        <w:rPr>
          <w:rFonts w:hint="eastAsia" w:ascii="仿宋" w:hAnsi="仿宋" w:eastAsia="仿宋" w:cs="仿宋"/>
          <w:color w:val="auto"/>
          <w:sz w:val="28"/>
          <w:szCs w:val="28"/>
          <w:highlight w:val="none"/>
          <w:lang w:val="en-US" w:eastAsia="zh-CN"/>
        </w:rPr>
        <w:t>419.66万元</w:t>
      </w:r>
      <w:r>
        <w:rPr>
          <w:rFonts w:hint="eastAsia" w:ascii="仿宋" w:hAnsi="仿宋" w:eastAsia="仿宋" w:cs="仿宋"/>
          <w:color w:val="auto"/>
          <w:sz w:val="28"/>
          <w:szCs w:val="28"/>
          <w:highlight w:val="none"/>
        </w:rPr>
        <w:t>等。</w:t>
      </w:r>
    </w:p>
    <w:p>
      <w:pPr>
        <w:spacing w:line="600" w:lineRule="exact"/>
        <w:ind w:firstLine="643" w:firstLineChars="200"/>
        <w:outlineLvl w:val="2"/>
        <w:rPr>
          <w:rFonts w:ascii="仿宋" w:hAnsi="仿宋" w:eastAsia="仿宋"/>
          <w:b/>
          <w:color w:val="auto"/>
          <w:sz w:val="32"/>
          <w:szCs w:val="32"/>
          <w:highlight w:val="none"/>
        </w:rPr>
      </w:pPr>
      <w:bookmarkStart w:id="35" w:name="_Toc15377211"/>
      <w:r>
        <w:rPr>
          <w:rFonts w:hint="eastAsia" w:ascii="仿宋" w:hAnsi="仿宋" w:eastAsia="仿宋"/>
          <w:b/>
          <w:color w:val="auto"/>
          <w:sz w:val="32"/>
          <w:szCs w:val="32"/>
          <w:highlight w:val="none"/>
        </w:rPr>
        <w:t>（二）一般公共预算财政拨款支出决算结构情况</w:t>
      </w:r>
      <w:bookmarkEnd w:id="35"/>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年一般公共预算财政拨款支出</w:t>
      </w:r>
      <w:r>
        <w:rPr>
          <w:rFonts w:hint="eastAsia" w:ascii="仿宋" w:hAnsi="仿宋" w:eastAsia="仿宋" w:cs="仿宋"/>
          <w:color w:val="auto"/>
          <w:sz w:val="28"/>
          <w:szCs w:val="28"/>
          <w:highlight w:val="none"/>
          <w:lang w:val="en-US" w:eastAsia="zh-CN"/>
        </w:rPr>
        <w:t>2177.49</w:t>
      </w:r>
      <w:r>
        <w:rPr>
          <w:rFonts w:hint="eastAsia" w:ascii="仿宋" w:hAnsi="仿宋" w:eastAsia="仿宋" w:cs="仿宋"/>
          <w:color w:val="auto"/>
          <w:sz w:val="28"/>
          <w:szCs w:val="28"/>
          <w:highlight w:val="none"/>
        </w:rPr>
        <w:t>万元，主要用于以下方面:一般公共服务（类）支出0万元，占0%；教育支出（类）0万元，占0%；科学技术（类）支出1.</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6万元，占0.0</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%；社会保障和就业（类）支出</w:t>
      </w:r>
      <w:r>
        <w:rPr>
          <w:rFonts w:hint="eastAsia" w:ascii="仿宋" w:hAnsi="仿宋" w:eastAsia="仿宋" w:cs="仿宋"/>
          <w:color w:val="auto"/>
          <w:sz w:val="28"/>
          <w:szCs w:val="28"/>
          <w:highlight w:val="none"/>
          <w:lang w:val="en-US" w:eastAsia="zh-CN"/>
        </w:rPr>
        <w:t>441.04</w:t>
      </w:r>
      <w:r>
        <w:rPr>
          <w:rFonts w:hint="eastAsia" w:ascii="仿宋" w:hAnsi="仿宋" w:eastAsia="仿宋" w:cs="仿宋"/>
          <w:color w:val="auto"/>
          <w:sz w:val="28"/>
          <w:szCs w:val="28"/>
          <w:highlight w:val="none"/>
        </w:rPr>
        <w:t>万元，占</w:t>
      </w:r>
      <w:r>
        <w:rPr>
          <w:rFonts w:hint="eastAsia" w:ascii="仿宋" w:hAnsi="仿宋" w:eastAsia="仿宋" w:cs="仿宋"/>
          <w:color w:val="auto"/>
          <w:sz w:val="28"/>
          <w:szCs w:val="28"/>
          <w:highlight w:val="none"/>
          <w:lang w:val="en-US" w:eastAsia="zh-CN"/>
        </w:rPr>
        <w:t>20.25</w:t>
      </w:r>
      <w:r>
        <w:rPr>
          <w:rFonts w:hint="eastAsia" w:ascii="仿宋" w:hAnsi="仿宋" w:eastAsia="仿宋" w:cs="仿宋"/>
          <w:color w:val="auto"/>
          <w:sz w:val="28"/>
          <w:szCs w:val="28"/>
          <w:highlight w:val="none"/>
        </w:rPr>
        <w:t>%；医疗卫生支出</w:t>
      </w:r>
      <w:r>
        <w:rPr>
          <w:rFonts w:hint="eastAsia" w:ascii="仿宋" w:hAnsi="仿宋" w:eastAsia="仿宋" w:cs="仿宋"/>
          <w:color w:val="auto"/>
          <w:sz w:val="28"/>
          <w:szCs w:val="28"/>
          <w:highlight w:val="none"/>
          <w:lang w:val="en-US" w:eastAsia="zh-CN"/>
        </w:rPr>
        <w:t>1734.69</w:t>
      </w:r>
      <w:r>
        <w:rPr>
          <w:rFonts w:hint="eastAsia" w:ascii="仿宋" w:hAnsi="仿宋" w:eastAsia="仿宋" w:cs="仿宋"/>
          <w:color w:val="auto"/>
          <w:sz w:val="28"/>
          <w:szCs w:val="28"/>
          <w:highlight w:val="none"/>
        </w:rPr>
        <w:t>万元，占</w:t>
      </w:r>
      <w:r>
        <w:rPr>
          <w:rFonts w:hint="eastAsia" w:ascii="仿宋" w:hAnsi="仿宋" w:eastAsia="仿宋" w:cs="仿宋"/>
          <w:color w:val="auto"/>
          <w:sz w:val="28"/>
          <w:szCs w:val="28"/>
          <w:highlight w:val="none"/>
          <w:lang w:val="en-US" w:eastAsia="zh-CN"/>
        </w:rPr>
        <w:t>79.66</w:t>
      </w:r>
      <w:r>
        <w:rPr>
          <w:rFonts w:hint="eastAsia" w:ascii="仿宋" w:hAnsi="仿宋" w:eastAsia="仿宋" w:cs="仿宋"/>
          <w:color w:val="auto"/>
          <w:sz w:val="28"/>
          <w:szCs w:val="28"/>
          <w:highlight w:val="none"/>
        </w:rPr>
        <w:t>%；住房保障支出0万元，占0%。</w:t>
      </w:r>
    </w:p>
    <w:p>
      <w:pPr>
        <w:spacing w:line="600" w:lineRule="exact"/>
        <w:ind w:firstLine="643" w:firstLineChars="200"/>
        <w:outlineLvl w:val="2"/>
        <w:rPr>
          <w:rFonts w:ascii="仿宋" w:hAnsi="仿宋" w:eastAsia="仿宋"/>
          <w:b/>
          <w:color w:val="auto"/>
          <w:sz w:val="32"/>
          <w:szCs w:val="32"/>
          <w:highlight w:val="none"/>
        </w:rPr>
      </w:pPr>
      <w:bookmarkStart w:id="36" w:name="_Toc15377212"/>
      <w:r>
        <w:rPr>
          <w:rFonts w:hint="eastAsia" w:ascii="仿宋" w:hAnsi="仿宋" w:eastAsia="仿宋"/>
          <w:b/>
          <w:color w:val="auto"/>
          <w:sz w:val="32"/>
          <w:szCs w:val="32"/>
          <w:highlight w:val="none"/>
        </w:rPr>
        <w:t>（三）一般公共预算财政拨款支出决算具体情况</w:t>
      </w:r>
      <w:bookmarkEnd w:id="36"/>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年一般公共预算支出决算数为</w:t>
      </w:r>
      <w:r>
        <w:rPr>
          <w:rFonts w:hint="eastAsia" w:ascii="仿宋" w:hAnsi="仿宋" w:eastAsia="仿宋" w:cs="仿宋"/>
          <w:color w:val="auto"/>
          <w:sz w:val="28"/>
          <w:szCs w:val="28"/>
          <w:highlight w:val="none"/>
          <w:lang w:val="en-US" w:eastAsia="zh-CN"/>
        </w:rPr>
        <w:t>2177.49</w:t>
      </w:r>
      <w:r>
        <w:rPr>
          <w:rFonts w:hint="eastAsia" w:ascii="仿宋" w:hAnsi="仿宋" w:eastAsia="仿宋" w:cs="仿宋"/>
          <w:color w:val="auto"/>
          <w:sz w:val="28"/>
          <w:szCs w:val="28"/>
          <w:highlight w:val="none"/>
        </w:rPr>
        <w:t>，完成预算</w:t>
      </w:r>
      <w:r>
        <w:rPr>
          <w:rFonts w:hint="eastAsia" w:ascii="仿宋" w:hAnsi="仿宋" w:eastAsia="仿宋" w:cs="仿宋"/>
          <w:color w:val="auto"/>
          <w:sz w:val="28"/>
          <w:szCs w:val="28"/>
          <w:highlight w:val="none"/>
          <w:lang w:val="en-US" w:eastAsia="zh-CN"/>
        </w:rPr>
        <w:t>31.12</w:t>
      </w:r>
      <w:r>
        <w:rPr>
          <w:rFonts w:hint="eastAsia" w:ascii="仿宋" w:hAnsi="仿宋" w:eastAsia="仿宋" w:cs="仿宋"/>
          <w:color w:val="auto"/>
          <w:sz w:val="28"/>
          <w:szCs w:val="28"/>
          <w:highlight w:val="none"/>
        </w:rPr>
        <w:t>%。其中：</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1.科学技术（类）技术研究与开发（款）其他技术研究与开发支出（项）:支出决算为1.</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6万元，完成预算</w:t>
      </w:r>
      <w:r>
        <w:rPr>
          <w:rFonts w:hint="eastAsia" w:ascii="仿宋" w:hAnsi="仿宋" w:eastAsia="仿宋" w:cs="仿宋"/>
          <w:color w:val="auto"/>
          <w:sz w:val="28"/>
          <w:szCs w:val="28"/>
          <w:highlight w:val="none"/>
          <w:lang w:val="en-US" w:eastAsia="zh-CN"/>
        </w:rPr>
        <w:t>100</w:t>
      </w:r>
      <w:r>
        <w:rPr>
          <w:rFonts w:hint="eastAsia" w:ascii="仿宋" w:hAnsi="仿宋" w:eastAsia="仿宋" w:cs="仿宋"/>
          <w:color w:val="auto"/>
          <w:sz w:val="28"/>
          <w:szCs w:val="28"/>
          <w:highlight w:val="none"/>
        </w:rPr>
        <w:t>%。</w:t>
      </w:r>
    </w:p>
    <w:p>
      <w:pPr>
        <w:spacing w:line="6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2.社会保障和就业（类）行政事业单位离退休（款）事业单位离退休（项）:支出决算为</w:t>
      </w:r>
      <w:r>
        <w:rPr>
          <w:rFonts w:hint="eastAsia" w:ascii="仿宋" w:hAnsi="仿宋" w:eastAsia="仿宋" w:cs="仿宋"/>
          <w:color w:val="auto"/>
          <w:sz w:val="28"/>
          <w:szCs w:val="28"/>
          <w:highlight w:val="none"/>
          <w:lang w:val="en-US" w:eastAsia="zh-CN"/>
        </w:rPr>
        <w:t>441.04</w:t>
      </w:r>
      <w:r>
        <w:rPr>
          <w:rFonts w:hint="eastAsia" w:ascii="仿宋" w:hAnsi="仿宋" w:eastAsia="仿宋" w:cs="仿宋"/>
          <w:color w:val="auto"/>
          <w:sz w:val="28"/>
          <w:szCs w:val="28"/>
          <w:highlight w:val="none"/>
        </w:rPr>
        <w:t>万元，完成预算</w:t>
      </w:r>
      <w:r>
        <w:rPr>
          <w:rFonts w:hint="eastAsia" w:ascii="仿宋" w:hAnsi="仿宋" w:eastAsia="仿宋" w:cs="仿宋"/>
          <w:color w:val="auto"/>
          <w:sz w:val="28"/>
          <w:szCs w:val="28"/>
          <w:highlight w:val="none"/>
          <w:lang w:val="en-US" w:eastAsia="zh-CN"/>
        </w:rPr>
        <w:t>13.16</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决算数小于预算数的主要原因是</w:t>
      </w:r>
      <w:r>
        <w:rPr>
          <w:rFonts w:hint="eastAsia" w:ascii="仿宋" w:hAnsi="仿宋" w:eastAsia="仿宋" w:cs="仿宋"/>
          <w:color w:val="auto"/>
          <w:sz w:val="28"/>
          <w:szCs w:val="28"/>
          <w:highlight w:val="none"/>
          <w:lang w:eastAsia="zh-CN"/>
        </w:rPr>
        <w:t>预算数按照医院实际人员列支，一般公共预算财政拨款部份只有离休人员工资和离退人员慰问金拨款</w:t>
      </w:r>
      <w:r>
        <w:rPr>
          <w:rFonts w:hint="eastAsia" w:ascii="仿宋" w:hAnsi="仿宋" w:eastAsia="仿宋" w:cs="仿宋"/>
          <w:color w:val="auto"/>
          <w:sz w:val="28"/>
          <w:szCs w:val="28"/>
          <w:highlight w:val="none"/>
        </w:rPr>
        <w:t>。</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3.医疗卫生与计划生育（类）公立医院（款）中医（民族）医院（项）:支出决算为</w:t>
      </w:r>
      <w:r>
        <w:rPr>
          <w:rFonts w:hint="eastAsia" w:ascii="仿宋" w:hAnsi="仿宋" w:eastAsia="仿宋" w:cs="仿宋"/>
          <w:color w:val="auto"/>
          <w:sz w:val="28"/>
          <w:szCs w:val="28"/>
          <w:highlight w:val="none"/>
          <w:lang w:val="en-US" w:eastAsia="zh-CN"/>
        </w:rPr>
        <w:t>458.96</w:t>
      </w:r>
      <w:r>
        <w:rPr>
          <w:rFonts w:hint="eastAsia" w:ascii="仿宋" w:hAnsi="仿宋" w:eastAsia="仿宋" w:cs="仿宋"/>
          <w:color w:val="auto"/>
          <w:sz w:val="28"/>
          <w:szCs w:val="28"/>
          <w:highlight w:val="none"/>
        </w:rPr>
        <w:t>万元，完成预算</w:t>
      </w:r>
      <w:r>
        <w:rPr>
          <w:rFonts w:hint="eastAsia" w:ascii="仿宋" w:hAnsi="仿宋" w:eastAsia="仿宋" w:cs="仿宋"/>
          <w:color w:val="auto"/>
          <w:sz w:val="28"/>
          <w:szCs w:val="28"/>
          <w:highlight w:val="none"/>
          <w:lang w:val="en-US" w:eastAsia="zh-CN"/>
        </w:rPr>
        <w:t>28.68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决算数小于预算数的主要原因</w:t>
      </w:r>
      <w:r>
        <w:rPr>
          <w:rFonts w:hint="eastAsia" w:ascii="仿宋" w:hAnsi="仿宋" w:eastAsia="仿宋" w:cs="仿宋"/>
          <w:color w:val="auto"/>
          <w:sz w:val="28"/>
          <w:szCs w:val="28"/>
          <w:highlight w:val="none"/>
          <w:lang w:eastAsia="zh-CN"/>
        </w:rPr>
        <w:t>新院建设设备购置经费项目调为政府性基金预算财政拨款</w:t>
      </w:r>
      <w:r>
        <w:rPr>
          <w:rFonts w:hint="eastAsia" w:ascii="仿宋" w:hAnsi="仿宋" w:eastAsia="仿宋" w:cs="仿宋"/>
          <w:color w:val="auto"/>
          <w:sz w:val="28"/>
          <w:szCs w:val="28"/>
          <w:highlight w:val="none"/>
        </w:rPr>
        <w:t>。</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医疗卫生与计划生育（类）公立医院（款）其他公立医院支出（项）:支出决算为</w:t>
      </w:r>
      <w:r>
        <w:rPr>
          <w:rFonts w:hint="eastAsia" w:ascii="仿宋" w:hAnsi="仿宋" w:eastAsia="仿宋" w:cs="仿宋"/>
          <w:color w:val="auto"/>
          <w:sz w:val="28"/>
          <w:szCs w:val="28"/>
          <w:highlight w:val="none"/>
          <w:lang w:val="en-US" w:eastAsia="zh-CN"/>
        </w:rPr>
        <w:t>571.83</w:t>
      </w:r>
      <w:r>
        <w:rPr>
          <w:rFonts w:hint="eastAsia" w:ascii="仿宋" w:hAnsi="仿宋" w:eastAsia="仿宋" w:cs="仿宋"/>
          <w:color w:val="auto"/>
          <w:sz w:val="28"/>
          <w:szCs w:val="28"/>
          <w:highlight w:val="none"/>
        </w:rPr>
        <w:t>万元，完成预算</w:t>
      </w:r>
      <w:r>
        <w:rPr>
          <w:rFonts w:hint="eastAsia" w:ascii="仿宋" w:hAnsi="仿宋" w:eastAsia="仿宋" w:cs="仿宋"/>
          <w:color w:val="auto"/>
          <w:sz w:val="28"/>
          <w:szCs w:val="28"/>
          <w:highlight w:val="none"/>
          <w:lang w:val="en-US" w:eastAsia="zh-CN"/>
        </w:rPr>
        <w:t>89.09</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决算数小于预算数的主要原因是</w:t>
      </w:r>
      <w:r>
        <w:rPr>
          <w:rFonts w:hint="eastAsia" w:ascii="仿宋" w:hAnsi="仿宋" w:eastAsia="仿宋" w:cs="仿宋"/>
          <w:color w:val="auto"/>
          <w:sz w:val="28"/>
          <w:szCs w:val="28"/>
          <w:highlight w:val="none"/>
          <w:lang w:eastAsia="zh-CN"/>
        </w:rPr>
        <w:t>医疗服务能力提升（公立医院综合改革）</w:t>
      </w:r>
      <w:r>
        <w:rPr>
          <w:rFonts w:hint="eastAsia" w:ascii="仿宋" w:hAnsi="仿宋" w:eastAsia="仿宋" w:cs="仿宋"/>
          <w:color w:val="auto"/>
          <w:sz w:val="28"/>
          <w:szCs w:val="28"/>
          <w:highlight w:val="none"/>
        </w:rPr>
        <w:t>项目资金未使用完。</w:t>
      </w:r>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医疗卫生与计划生育（类）基层医疗卫生机构（款）其他基层医疗卫生机构支出（项）:支出决算为</w:t>
      </w:r>
      <w:r>
        <w:rPr>
          <w:rFonts w:hint="eastAsia" w:ascii="仿宋" w:hAnsi="仿宋" w:eastAsia="仿宋" w:cs="仿宋"/>
          <w:color w:val="auto"/>
          <w:sz w:val="28"/>
          <w:szCs w:val="28"/>
          <w:highlight w:val="none"/>
          <w:lang w:val="en-US" w:eastAsia="zh-CN"/>
        </w:rPr>
        <w:t>176.9</w:t>
      </w:r>
      <w:r>
        <w:rPr>
          <w:rFonts w:hint="eastAsia" w:ascii="仿宋" w:hAnsi="仿宋" w:eastAsia="仿宋" w:cs="仿宋"/>
          <w:color w:val="auto"/>
          <w:sz w:val="28"/>
          <w:szCs w:val="28"/>
          <w:highlight w:val="none"/>
        </w:rPr>
        <w:t>万元，完成预算100%。</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医疗卫生与计划生育（类）</w:t>
      </w:r>
      <w:r>
        <w:rPr>
          <w:rFonts w:hint="eastAsia" w:ascii="仿宋" w:hAnsi="仿宋" w:eastAsia="仿宋" w:cs="仿宋"/>
          <w:color w:val="auto"/>
          <w:sz w:val="28"/>
          <w:szCs w:val="28"/>
          <w:highlight w:val="none"/>
          <w:lang w:eastAsia="zh-CN"/>
        </w:rPr>
        <w:t>公共卫生</w:t>
      </w:r>
      <w:r>
        <w:rPr>
          <w:rFonts w:hint="eastAsia" w:ascii="仿宋" w:hAnsi="仿宋" w:eastAsia="仿宋" w:cs="仿宋"/>
          <w:color w:val="auto"/>
          <w:sz w:val="28"/>
          <w:szCs w:val="28"/>
          <w:highlight w:val="none"/>
        </w:rPr>
        <w:t>（款）</w:t>
      </w:r>
      <w:r>
        <w:rPr>
          <w:rFonts w:hint="eastAsia" w:ascii="仿宋" w:hAnsi="仿宋" w:eastAsia="仿宋" w:cs="仿宋"/>
          <w:color w:val="auto"/>
          <w:sz w:val="28"/>
          <w:szCs w:val="28"/>
          <w:highlight w:val="none"/>
          <w:lang w:eastAsia="zh-CN"/>
        </w:rPr>
        <w:t>重大公共卫生服务</w:t>
      </w:r>
      <w:r>
        <w:rPr>
          <w:rFonts w:hint="eastAsia" w:ascii="仿宋" w:hAnsi="仿宋" w:eastAsia="仿宋" w:cs="仿宋"/>
          <w:color w:val="auto"/>
          <w:sz w:val="28"/>
          <w:szCs w:val="28"/>
          <w:highlight w:val="none"/>
        </w:rPr>
        <w:t>（项）:支出决算为</w:t>
      </w:r>
      <w:r>
        <w:rPr>
          <w:rFonts w:hint="eastAsia" w:ascii="仿宋" w:hAnsi="仿宋" w:eastAsia="仿宋" w:cs="仿宋"/>
          <w:color w:val="auto"/>
          <w:sz w:val="28"/>
          <w:szCs w:val="28"/>
          <w:highlight w:val="none"/>
          <w:lang w:val="en-US" w:eastAsia="zh-CN"/>
        </w:rPr>
        <w:t>63.94</w:t>
      </w:r>
      <w:r>
        <w:rPr>
          <w:rFonts w:hint="eastAsia" w:ascii="仿宋" w:hAnsi="仿宋" w:eastAsia="仿宋" w:cs="仿宋"/>
          <w:color w:val="auto"/>
          <w:sz w:val="28"/>
          <w:szCs w:val="28"/>
          <w:highlight w:val="none"/>
        </w:rPr>
        <w:t>万元，完成预算</w:t>
      </w:r>
      <w:r>
        <w:rPr>
          <w:rFonts w:hint="eastAsia" w:ascii="仿宋" w:hAnsi="仿宋" w:eastAsia="仿宋" w:cs="仿宋"/>
          <w:color w:val="auto"/>
          <w:sz w:val="28"/>
          <w:szCs w:val="28"/>
          <w:highlight w:val="none"/>
          <w:lang w:val="en-US" w:eastAsia="zh-CN"/>
        </w:rPr>
        <w:t>56.12</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决算数小于预算数的主要原因是</w:t>
      </w:r>
      <w:r>
        <w:rPr>
          <w:rFonts w:hint="eastAsia" w:ascii="仿宋" w:hAnsi="仿宋" w:eastAsia="仿宋" w:cs="仿宋"/>
          <w:color w:val="auto"/>
          <w:sz w:val="28"/>
          <w:szCs w:val="28"/>
          <w:highlight w:val="none"/>
          <w:lang w:eastAsia="zh-CN"/>
        </w:rPr>
        <w:t>本年预下明年新冠肺炎重点人群及特定环境核酸检测经费项目资金，本年未使用。</w:t>
      </w:r>
    </w:p>
    <w:p>
      <w:pPr>
        <w:spacing w:line="500" w:lineRule="exact"/>
        <w:ind w:firstLine="642"/>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 xml:space="preserve">  医疗卫生与计划生育（类）中医药（款）其他中医药支出（项）:支出决算为</w:t>
      </w:r>
      <w:r>
        <w:rPr>
          <w:rFonts w:hint="eastAsia" w:ascii="仿宋" w:hAnsi="仿宋" w:eastAsia="仿宋" w:cs="仿宋"/>
          <w:color w:val="auto"/>
          <w:sz w:val="28"/>
          <w:szCs w:val="28"/>
          <w:highlight w:val="none"/>
          <w:lang w:val="en-US" w:eastAsia="zh-CN"/>
        </w:rPr>
        <w:t>16.54</w:t>
      </w:r>
      <w:r>
        <w:rPr>
          <w:rFonts w:hint="eastAsia" w:ascii="仿宋" w:hAnsi="仿宋" w:eastAsia="仿宋" w:cs="仿宋"/>
          <w:color w:val="auto"/>
          <w:sz w:val="28"/>
          <w:szCs w:val="28"/>
          <w:highlight w:val="none"/>
        </w:rPr>
        <w:t>万元，完成预算数</w:t>
      </w:r>
      <w:r>
        <w:rPr>
          <w:rFonts w:hint="eastAsia" w:ascii="仿宋" w:hAnsi="仿宋" w:eastAsia="仿宋" w:cs="仿宋"/>
          <w:color w:val="auto"/>
          <w:sz w:val="28"/>
          <w:szCs w:val="28"/>
          <w:highlight w:val="none"/>
          <w:lang w:val="en-US" w:eastAsia="zh-CN"/>
        </w:rPr>
        <w:t>100</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w:t>
      </w:r>
    </w:p>
    <w:p>
      <w:pPr>
        <w:spacing w:line="500" w:lineRule="exact"/>
        <w:ind w:firstLine="642"/>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 xml:space="preserve"> 医疗卫生与计划生育（类）</w:t>
      </w:r>
      <w:r>
        <w:rPr>
          <w:rFonts w:hint="eastAsia" w:ascii="仿宋" w:hAnsi="仿宋" w:eastAsia="仿宋" w:cs="仿宋"/>
          <w:color w:val="auto"/>
          <w:sz w:val="28"/>
          <w:szCs w:val="28"/>
          <w:highlight w:val="none"/>
          <w:lang w:eastAsia="zh-CN"/>
        </w:rPr>
        <w:t>行政事业单位医疗</w:t>
      </w:r>
      <w:r>
        <w:rPr>
          <w:rFonts w:hint="eastAsia" w:ascii="仿宋" w:hAnsi="仿宋" w:eastAsia="仿宋" w:cs="仿宋"/>
          <w:color w:val="auto"/>
          <w:sz w:val="28"/>
          <w:szCs w:val="28"/>
          <w:highlight w:val="none"/>
        </w:rPr>
        <w:t>（款）其他行政事业单位医疗支出（项）:支出决算为</w:t>
      </w:r>
      <w:r>
        <w:rPr>
          <w:rFonts w:hint="eastAsia" w:ascii="仿宋" w:hAnsi="仿宋" w:eastAsia="仿宋" w:cs="仿宋"/>
          <w:color w:val="auto"/>
          <w:sz w:val="28"/>
          <w:szCs w:val="28"/>
          <w:highlight w:val="none"/>
          <w:lang w:val="en-US" w:eastAsia="zh-CN"/>
        </w:rPr>
        <w:t>22.01</w:t>
      </w:r>
      <w:r>
        <w:rPr>
          <w:rFonts w:hint="eastAsia" w:ascii="仿宋" w:hAnsi="仿宋" w:eastAsia="仿宋" w:cs="仿宋"/>
          <w:color w:val="auto"/>
          <w:sz w:val="28"/>
          <w:szCs w:val="28"/>
          <w:highlight w:val="none"/>
        </w:rPr>
        <w:t>万元，完成预算数</w:t>
      </w:r>
      <w:r>
        <w:rPr>
          <w:rFonts w:hint="eastAsia" w:ascii="仿宋" w:hAnsi="仿宋" w:eastAsia="仿宋" w:cs="仿宋"/>
          <w:color w:val="auto"/>
          <w:sz w:val="28"/>
          <w:szCs w:val="28"/>
          <w:highlight w:val="none"/>
          <w:lang w:val="en-US" w:eastAsia="zh-CN"/>
        </w:rPr>
        <w:t>100</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医疗卫生与计划生育（类）其他医疗卫生与计划生育支出（款）其他医疗卫生与计划生育支出（项）:支出决算为</w:t>
      </w:r>
      <w:r>
        <w:rPr>
          <w:rFonts w:hint="eastAsia" w:ascii="仿宋" w:hAnsi="仿宋" w:eastAsia="仿宋" w:cs="仿宋"/>
          <w:color w:val="auto"/>
          <w:sz w:val="28"/>
          <w:szCs w:val="28"/>
          <w:highlight w:val="none"/>
          <w:lang w:val="en-US" w:eastAsia="zh-CN"/>
        </w:rPr>
        <w:t>424.51</w:t>
      </w:r>
      <w:r>
        <w:rPr>
          <w:rFonts w:hint="eastAsia" w:ascii="仿宋" w:hAnsi="仿宋" w:eastAsia="仿宋" w:cs="仿宋"/>
          <w:color w:val="auto"/>
          <w:sz w:val="28"/>
          <w:szCs w:val="28"/>
          <w:highlight w:val="none"/>
        </w:rPr>
        <w:t>万元，完成预算数</w:t>
      </w:r>
      <w:r>
        <w:rPr>
          <w:rFonts w:hint="eastAsia" w:ascii="仿宋" w:hAnsi="仿宋" w:eastAsia="仿宋" w:cs="仿宋"/>
          <w:color w:val="auto"/>
          <w:sz w:val="28"/>
          <w:szCs w:val="28"/>
          <w:highlight w:val="none"/>
          <w:lang w:val="en-US" w:eastAsia="zh-CN"/>
        </w:rPr>
        <w:t>50</w:t>
      </w:r>
      <w:r>
        <w:rPr>
          <w:rFonts w:hint="eastAsia" w:ascii="仿宋" w:hAnsi="仿宋" w:eastAsia="仿宋" w:cs="仿宋"/>
          <w:color w:val="auto"/>
          <w:sz w:val="28"/>
          <w:szCs w:val="28"/>
          <w:highlight w:val="none"/>
        </w:rPr>
        <w:t>%，决算数小于预算数的主要原因是</w:t>
      </w:r>
      <w:r>
        <w:rPr>
          <w:rFonts w:hint="eastAsia" w:ascii="仿宋" w:hAnsi="仿宋" w:eastAsia="仿宋" w:cs="仿宋"/>
          <w:color w:val="auto"/>
          <w:sz w:val="28"/>
          <w:szCs w:val="28"/>
          <w:highlight w:val="none"/>
          <w:lang w:eastAsia="zh-CN"/>
        </w:rPr>
        <w:t>医疗服务与保障能力提各项（住院医师规范化培训）</w:t>
      </w:r>
      <w:r>
        <w:rPr>
          <w:rFonts w:hint="eastAsia" w:ascii="仿宋" w:hAnsi="仿宋" w:eastAsia="仿宋" w:cs="仿宋"/>
          <w:color w:val="auto"/>
          <w:sz w:val="28"/>
          <w:szCs w:val="28"/>
          <w:highlight w:val="none"/>
        </w:rPr>
        <w:t>项目资金未使用完。</w:t>
      </w:r>
    </w:p>
    <w:p>
      <w:pPr>
        <w:tabs>
          <w:tab w:val="right" w:pos="8306"/>
        </w:tabs>
        <w:spacing w:line="600" w:lineRule="exact"/>
        <w:ind w:firstLine="640"/>
        <w:outlineLvl w:val="1"/>
        <w:rPr>
          <w:rStyle w:val="28"/>
          <w:color w:val="auto"/>
          <w:highlight w:val="none"/>
        </w:rPr>
      </w:pPr>
      <w:bookmarkStart w:id="37" w:name="_Toc15396608"/>
      <w:bookmarkStart w:id="38" w:name="_Toc15377214"/>
      <w:r>
        <w:rPr>
          <w:rFonts w:hint="eastAsia" w:ascii="黑体" w:eastAsia="黑体"/>
          <w:color w:val="auto"/>
          <w:sz w:val="32"/>
          <w:szCs w:val="32"/>
          <w:highlight w:val="none"/>
        </w:rPr>
        <w:t>六</w:t>
      </w:r>
      <w:r>
        <w:rPr>
          <w:rFonts w:hint="eastAsia" w:ascii="黑体" w:eastAsia="黑体"/>
          <w:b/>
          <w:color w:val="auto"/>
          <w:sz w:val="32"/>
          <w:szCs w:val="32"/>
          <w:highlight w:val="none"/>
        </w:rPr>
        <w:t>、</w:t>
      </w:r>
      <w:r>
        <w:rPr>
          <w:rFonts w:hint="eastAsia" w:ascii="黑体" w:hAnsi="黑体" w:eastAsia="黑体"/>
          <w:b/>
          <w:color w:val="auto"/>
          <w:sz w:val="32"/>
          <w:szCs w:val="32"/>
          <w:highlight w:val="none"/>
        </w:rPr>
        <w:t>一</w:t>
      </w:r>
      <w:r>
        <w:rPr>
          <w:rStyle w:val="28"/>
          <w:rFonts w:hint="eastAsia" w:ascii="黑体" w:hAnsi="黑体" w:eastAsia="黑体"/>
          <w:b w:val="0"/>
          <w:color w:val="auto"/>
          <w:highlight w:val="none"/>
        </w:rPr>
        <w:t>般公共预算财政拨款基本支出决算情况说明</w:t>
      </w:r>
      <w:bookmarkEnd w:id="37"/>
      <w:bookmarkEnd w:id="38"/>
      <w:r>
        <w:rPr>
          <w:rStyle w:val="28"/>
          <w:rFonts w:ascii="黑体" w:hAnsi="黑体" w:eastAsia="黑体"/>
          <w:b w:val="0"/>
          <w:color w:val="auto"/>
          <w:highlight w:val="none"/>
        </w:rPr>
        <w:tab/>
      </w:r>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年一般公共预算财政拨款基本支出</w:t>
      </w:r>
      <w:r>
        <w:rPr>
          <w:rFonts w:hint="eastAsia" w:ascii="仿宋" w:hAnsi="仿宋" w:eastAsia="仿宋" w:cs="仿宋"/>
          <w:color w:val="auto"/>
          <w:sz w:val="28"/>
          <w:szCs w:val="28"/>
          <w:highlight w:val="none"/>
          <w:lang w:val="en-US" w:eastAsia="zh-CN"/>
        </w:rPr>
        <w:t>491.04</w:t>
      </w:r>
      <w:r>
        <w:rPr>
          <w:rFonts w:hint="eastAsia" w:ascii="仿宋" w:hAnsi="仿宋" w:eastAsia="仿宋" w:cs="仿宋"/>
          <w:color w:val="auto"/>
          <w:sz w:val="28"/>
          <w:szCs w:val="28"/>
          <w:highlight w:val="none"/>
        </w:rPr>
        <w:t>万元，其中：人员经费</w:t>
      </w:r>
      <w:r>
        <w:rPr>
          <w:rFonts w:hint="eastAsia" w:ascii="仿宋" w:hAnsi="仿宋" w:eastAsia="仿宋" w:cs="仿宋"/>
          <w:color w:val="auto"/>
          <w:sz w:val="28"/>
          <w:szCs w:val="28"/>
          <w:highlight w:val="none"/>
          <w:lang w:val="en-US" w:eastAsia="zh-CN"/>
        </w:rPr>
        <w:t>491.04</w:t>
      </w:r>
      <w:r>
        <w:rPr>
          <w:rFonts w:hint="eastAsia" w:ascii="仿宋" w:hAnsi="仿宋" w:eastAsia="仿宋" w:cs="仿宋"/>
          <w:color w:val="auto"/>
          <w:sz w:val="28"/>
          <w:szCs w:val="28"/>
          <w:highlight w:val="none"/>
        </w:rPr>
        <w:t>万元，主要包括：基本工资50万元、离休费</w:t>
      </w:r>
      <w:r>
        <w:rPr>
          <w:rFonts w:hint="eastAsia" w:ascii="仿宋" w:hAnsi="仿宋" w:eastAsia="仿宋" w:cs="仿宋"/>
          <w:color w:val="auto"/>
          <w:sz w:val="28"/>
          <w:szCs w:val="28"/>
          <w:highlight w:val="none"/>
          <w:lang w:val="en-US" w:eastAsia="zh-CN"/>
        </w:rPr>
        <w:t>42.43</w:t>
      </w:r>
      <w:r>
        <w:rPr>
          <w:rFonts w:hint="eastAsia" w:ascii="仿宋" w:hAnsi="仿宋" w:eastAsia="仿宋" w:cs="仿宋"/>
          <w:color w:val="auto"/>
          <w:sz w:val="28"/>
          <w:szCs w:val="28"/>
          <w:highlight w:val="none"/>
        </w:rPr>
        <w:t>万元、其他对个人和家庭的补助支出</w:t>
      </w:r>
      <w:r>
        <w:rPr>
          <w:rFonts w:hint="eastAsia" w:ascii="仿宋" w:hAnsi="仿宋" w:eastAsia="仿宋" w:cs="仿宋"/>
          <w:color w:val="auto"/>
          <w:sz w:val="28"/>
          <w:szCs w:val="28"/>
          <w:highlight w:val="none"/>
          <w:lang w:val="en-US" w:eastAsia="zh-CN"/>
        </w:rPr>
        <w:t>398.61</w:t>
      </w:r>
      <w:r>
        <w:rPr>
          <w:rFonts w:hint="eastAsia" w:ascii="仿宋" w:hAnsi="仿宋" w:eastAsia="仿宋" w:cs="仿宋"/>
          <w:color w:val="auto"/>
          <w:sz w:val="28"/>
          <w:szCs w:val="28"/>
          <w:highlight w:val="none"/>
        </w:rPr>
        <w:t>万元。</w:t>
      </w:r>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日常公用经费0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8"/>
          <w:rFonts w:ascii="黑体" w:hAnsi="黑体" w:eastAsia="黑体"/>
          <w:b w:val="0"/>
          <w:color w:val="auto"/>
          <w:highlight w:val="none"/>
        </w:rPr>
      </w:pPr>
      <w:bookmarkStart w:id="39" w:name="_Toc15396609"/>
      <w:bookmarkStart w:id="40" w:name="_Toc15377215"/>
      <w:r>
        <w:rPr>
          <w:rFonts w:hint="eastAsia" w:ascii="黑体" w:eastAsia="黑体"/>
          <w:color w:val="auto"/>
          <w:sz w:val="32"/>
          <w:szCs w:val="32"/>
          <w:highlight w:val="none"/>
        </w:rPr>
        <w:t>七、</w:t>
      </w:r>
      <w:r>
        <w:rPr>
          <w:rStyle w:val="28"/>
          <w:rFonts w:hint="eastAsia" w:ascii="黑体" w:hAnsi="黑体" w:eastAsia="黑体"/>
          <w:color w:val="auto"/>
          <w:highlight w:val="none"/>
        </w:rPr>
        <w:t>“</w:t>
      </w:r>
      <w:r>
        <w:rPr>
          <w:rStyle w:val="28"/>
          <w:rFonts w:hint="eastAsia" w:ascii="黑体" w:hAnsi="黑体" w:eastAsia="黑体"/>
          <w:b w:val="0"/>
          <w:color w:val="auto"/>
          <w:highlight w:val="none"/>
        </w:rPr>
        <w:t>三公”经费财政拨款支出决算情况说明</w:t>
      </w:r>
      <w:bookmarkEnd w:id="39"/>
      <w:bookmarkEnd w:id="40"/>
    </w:p>
    <w:p>
      <w:pPr>
        <w:spacing w:line="600" w:lineRule="exact"/>
        <w:ind w:firstLine="640"/>
        <w:outlineLvl w:val="2"/>
        <w:rPr>
          <w:rFonts w:ascii="仿宋" w:hAnsi="仿宋" w:eastAsia="仿宋"/>
          <w:b/>
          <w:color w:val="auto"/>
          <w:sz w:val="32"/>
          <w:szCs w:val="32"/>
          <w:highlight w:val="none"/>
        </w:rPr>
      </w:pPr>
      <w:bookmarkStart w:id="41" w:name="_Toc15377216"/>
      <w:r>
        <w:rPr>
          <w:rFonts w:hint="eastAsia" w:ascii="仿宋" w:hAnsi="仿宋" w:eastAsia="仿宋"/>
          <w:b/>
          <w:color w:val="auto"/>
          <w:sz w:val="32"/>
          <w:szCs w:val="32"/>
          <w:highlight w:val="none"/>
        </w:rPr>
        <w:t>（一）“三公”经费财政拨款支出决算总体情况说明</w:t>
      </w:r>
      <w:bookmarkEnd w:id="41"/>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年“三公”经费财政拨款支出决算为0万元，完成预算0。</w:t>
      </w:r>
    </w:p>
    <w:p>
      <w:pPr>
        <w:spacing w:line="600" w:lineRule="exact"/>
        <w:ind w:firstLine="640"/>
        <w:outlineLvl w:val="2"/>
        <w:rPr>
          <w:rFonts w:ascii="仿宋" w:hAnsi="仿宋" w:eastAsia="仿宋"/>
          <w:b/>
          <w:color w:val="auto"/>
          <w:sz w:val="32"/>
          <w:szCs w:val="32"/>
          <w:highlight w:val="none"/>
        </w:rPr>
      </w:pPr>
      <w:bookmarkStart w:id="42" w:name="_Toc15377217"/>
      <w:r>
        <w:rPr>
          <w:rFonts w:hint="eastAsia" w:ascii="仿宋" w:hAnsi="仿宋" w:eastAsia="仿宋"/>
          <w:b/>
          <w:color w:val="auto"/>
          <w:sz w:val="32"/>
          <w:szCs w:val="32"/>
          <w:highlight w:val="none"/>
        </w:rPr>
        <w:t>（二）“三公”经费财政拨款支出决算具体情况说明</w:t>
      </w:r>
      <w:bookmarkEnd w:id="42"/>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年“三公”经费财政拨款支出决算中，因公出国（境）费支出决算0万元，占0%；公务用车购置及运行维护费支出决算0万元，占0%；公务接待费支出决算0万元，占0%。</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1.因公出国（境）经费支出0万元，完成预算0%。全年安排因公出国（境）团组0次，出国（境）0人。因公出国（境）支出决算比</w:t>
      </w:r>
      <w:r>
        <w:rPr>
          <w:rFonts w:hint="eastAsia" w:ascii="仿宋" w:hAnsi="仿宋" w:eastAsia="仿宋" w:cs="仿宋"/>
          <w:color w:val="auto"/>
          <w:sz w:val="28"/>
          <w:szCs w:val="28"/>
          <w:highlight w:val="none"/>
          <w:lang w:val="en-US" w:eastAsia="zh-CN"/>
        </w:rPr>
        <w:t>2019</w:t>
      </w:r>
      <w:r>
        <w:rPr>
          <w:rFonts w:hint="eastAsia" w:ascii="仿宋" w:hAnsi="仿宋" w:eastAsia="仿宋" w:cs="仿宋"/>
          <w:color w:val="auto"/>
          <w:sz w:val="28"/>
          <w:szCs w:val="28"/>
          <w:highlight w:val="none"/>
        </w:rPr>
        <w:t>年增加/减少0万元，增长/下降0%。</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2.公务用车购置及运行维护费支出0万元,完成预算0%。公务用车购置及运行维护费支出决算比</w:t>
      </w:r>
      <w:r>
        <w:rPr>
          <w:rFonts w:hint="eastAsia" w:ascii="仿宋" w:hAnsi="仿宋" w:eastAsia="仿宋" w:cs="仿宋"/>
          <w:color w:val="auto"/>
          <w:sz w:val="28"/>
          <w:szCs w:val="28"/>
          <w:highlight w:val="none"/>
          <w:lang w:val="en-US" w:eastAsia="zh-CN"/>
        </w:rPr>
        <w:t>2019</w:t>
      </w:r>
      <w:r>
        <w:rPr>
          <w:rFonts w:hint="eastAsia" w:ascii="仿宋" w:hAnsi="仿宋" w:eastAsia="仿宋" w:cs="仿宋"/>
          <w:color w:val="auto"/>
          <w:sz w:val="28"/>
          <w:szCs w:val="28"/>
          <w:highlight w:val="none"/>
        </w:rPr>
        <w:t xml:space="preserve">年增加/减少0万元，增长/下降0%。 </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其中：公务用车购置支出0万元。全年按规定更新购置公务用车0辆，其中：轿车0辆、金额0万元，越野车0辆、金额0万元，载客汽车0辆、金额0万元。截至</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年12月底，单位共有公务用车2辆，其中：轿车1辆、越野车1辆、载客汽车0辆。</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公务用车运行维护费支出0万元。</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3.公务接待费支出0万元，完成预算0%。公务接待费支出决算比2017年增加/减少0万元，增长/下降0%。</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国内公务接待0批次，0人次（不包括陪同人员），共计支出0万元。其中：</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外事接待支出0万元，外事接待0批次，0人，共计支出0万元。</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其他国内公务接待支出0万元。</w:t>
      </w:r>
    </w:p>
    <w:p>
      <w:pPr>
        <w:spacing w:line="600" w:lineRule="exact"/>
        <w:ind w:firstLine="640"/>
        <w:outlineLvl w:val="1"/>
        <w:rPr>
          <w:rStyle w:val="28"/>
          <w:rFonts w:ascii="黑体" w:hAnsi="黑体" w:eastAsia="黑体"/>
          <w:color w:val="auto"/>
          <w:highlight w:val="none"/>
        </w:rPr>
      </w:pPr>
      <w:bookmarkStart w:id="43" w:name="_Toc15377218"/>
      <w:bookmarkStart w:id="44" w:name="_Toc15396610"/>
      <w:r>
        <w:rPr>
          <w:rFonts w:hint="eastAsia" w:ascii="黑体" w:eastAsia="黑体"/>
          <w:color w:val="auto"/>
          <w:sz w:val="32"/>
          <w:szCs w:val="32"/>
          <w:highlight w:val="none"/>
        </w:rPr>
        <w:t>八、</w:t>
      </w:r>
      <w:r>
        <w:rPr>
          <w:rStyle w:val="28"/>
          <w:rFonts w:hint="eastAsia" w:ascii="黑体" w:hAnsi="黑体" w:eastAsia="黑体"/>
          <w:b w:val="0"/>
          <w:color w:val="auto"/>
          <w:highlight w:val="none"/>
        </w:rPr>
        <w:t>政府性基金预算支出决算情况说明</w:t>
      </w:r>
      <w:bookmarkEnd w:id="43"/>
      <w:bookmarkEnd w:id="44"/>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年政府性基金预算拨款支出</w:t>
      </w:r>
      <w:r>
        <w:rPr>
          <w:rFonts w:hint="eastAsia" w:ascii="仿宋" w:hAnsi="仿宋" w:eastAsia="仿宋" w:cs="仿宋"/>
          <w:color w:val="auto"/>
          <w:sz w:val="28"/>
          <w:szCs w:val="28"/>
          <w:highlight w:val="none"/>
          <w:lang w:val="en-US" w:eastAsia="zh-CN"/>
        </w:rPr>
        <w:t>1316.89</w:t>
      </w:r>
      <w:r>
        <w:rPr>
          <w:rFonts w:hint="eastAsia" w:ascii="仿宋" w:hAnsi="仿宋" w:eastAsia="仿宋" w:cs="仿宋"/>
          <w:color w:val="auto"/>
          <w:sz w:val="28"/>
          <w:szCs w:val="28"/>
          <w:highlight w:val="none"/>
        </w:rPr>
        <w:t>万元。</w:t>
      </w:r>
      <w:r>
        <w:rPr>
          <w:rFonts w:hint="eastAsia" w:ascii="仿宋" w:hAnsi="仿宋" w:eastAsia="仿宋" w:cs="仿宋"/>
          <w:color w:val="auto"/>
          <w:sz w:val="28"/>
          <w:szCs w:val="28"/>
          <w:highlight w:val="none"/>
          <w:lang w:val="en-US" w:eastAsia="zh-CN"/>
        </w:rPr>
        <w:t>占本年支出合计的2.96%。与2019年相比，政府性基金预算财政拨款增加1316.89万元，增长100%。主要变动原因是2020年增加政府性基金拨款新院建设设备购置经费项目1316.89万元。</w:t>
      </w:r>
    </w:p>
    <w:p>
      <w:pPr>
        <w:spacing w:line="600" w:lineRule="exact"/>
        <w:ind w:firstLine="640" w:firstLineChars="200"/>
        <w:outlineLvl w:val="1"/>
        <w:rPr>
          <w:rStyle w:val="28"/>
          <w:rFonts w:ascii="黑体" w:hAnsi="黑体" w:eastAsia="黑体"/>
          <w:b w:val="0"/>
          <w:color w:val="auto"/>
          <w:highlight w:val="none"/>
        </w:rPr>
      </w:pPr>
      <w:bookmarkStart w:id="45" w:name="_Toc15396611"/>
      <w:bookmarkStart w:id="46" w:name="_Toc15377219"/>
      <w:r>
        <w:rPr>
          <w:rStyle w:val="28"/>
          <w:rFonts w:hint="eastAsia" w:ascii="黑体" w:hAnsi="黑体" w:eastAsia="黑体"/>
          <w:b w:val="0"/>
          <w:color w:val="auto"/>
          <w:highlight w:val="none"/>
        </w:rPr>
        <w:t>九、国有资本经营预算支出决算情况说明</w:t>
      </w:r>
      <w:bookmarkEnd w:id="45"/>
      <w:bookmarkEnd w:id="46"/>
    </w:p>
    <w:p>
      <w:pPr>
        <w:spacing w:line="600" w:lineRule="exact"/>
        <w:ind w:firstLine="560" w:firstLineChars="200"/>
        <w:rPr>
          <w:rFonts w:ascii="仿宋" w:hAnsi="仿宋" w:eastAsia="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年国有资本经营预算拨款支出0万元。</w:t>
      </w:r>
      <w:r>
        <w:rPr>
          <w:rFonts w:hint="eastAsia" w:ascii="仿宋" w:hAnsi="仿宋" w:eastAsia="仿宋"/>
          <w:color w:val="auto"/>
          <w:sz w:val="32"/>
          <w:szCs w:val="32"/>
          <w:highlight w:val="none"/>
        </w:rPr>
        <w:t>占本年支出合计的</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w:t>
      </w:r>
      <w:r>
        <w:rPr>
          <w:rFonts w:hint="eastAsia" w:ascii="仿宋" w:hAnsi="仿宋" w:eastAsia="仿宋"/>
          <w:color w:val="auto"/>
          <w:sz w:val="32"/>
          <w:szCs w:val="32"/>
          <w:highlight w:val="none"/>
        </w:rPr>
        <w:t>。与</w:t>
      </w:r>
      <w:r>
        <w:rPr>
          <w:rFonts w:ascii="仿宋" w:hAnsi="仿宋" w:eastAsia="仿宋"/>
          <w:color w:val="auto"/>
          <w:sz w:val="32"/>
          <w:szCs w:val="32"/>
          <w:highlight w:val="none"/>
        </w:rPr>
        <w:t>2019</w:t>
      </w:r>
      <w:r>
        <w:rPr>
          <w:rFonts w:hint="eastAsia" w:ascii="仿宋" w:hAnsi="仿宋" w:eastAsia="仿宋"/>
          <w:color w:val="auto"/>
          <w:sz w:val="32"/>
          <w:szCs w:val="32"/>
          <w:highlight w:val="none"/>
        </w:rPr>
        <w:t>年相比，国有资本经营预算财政拨款增加</w:t>
      </w:r>
      <w:r>
        <w:rPr>
          <w:rFonts w:ascii="仿宋" w:hAnsi="仿宋" w:eastAsia="仿宋"/>
          <w:color w:val="auto"/>
          <w:sz w:val="32"/>
          <w:szCs w:val="32"/>
          <w:highlight w:val="none"/>
        </w:rPr>
        <w:t>/</w:t>
      </w:r>
      <w:r>
        <w:rPr>
          <w:rFonts w:hint="eastAsia" w:ascii="仿宋" w:hAnsi="仿宋" w:eastAsia="仿宋"/>
          <w:color w:val="auto"/>
          <w:sz w:val="32"/>
          <w:szCs w:val="32"/>
          <w:highlight w:val="none"/>
        </w:rPr>
        <w:t>减少</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万元，增长</w:t>
      </w:r>
      <w:r>
        <w:rPr>
          <w:rFonts w:ascii="仿宋" w:hAnsi="仿宋" w:eastAsia="仿宋"/>
          <w:color w:val="auto"/>
          <w:sz w:val="32"/>
          <w:szCs w:val="32"/>
          <w:highlight w:val="none"/>
        </w:rPr>
        <w:t>/</w:t>
      </w:r>
      <w:r>
        <w:rPr>
          <w:rFonts w:hint="eastAsia" w:ascii="仿宋" w:hAnsi="仿宋" w:eastAsia="仿宋"/>
          <w:color w:val="auto"/>
          <w:sz w:val="32"/>
          <w:szCs w:val="32"/>
          <w:highlight w:val="none"/>
        </w:rPr>
        <w:t>下降</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w:t>
      </w:r>
      <w:r>
        <w:rPr>
          <w:rFonts w:hint="eastAsia" w:ascii="仿宋" w:hAnsi="仿宋" w:eastAsia="仿宋"/>
          <w:color w:val="auto"/>
          <w:sz w:val="32"/>
          <w:szCs w:val="32"/>
          <w:highlight w:val="none"/>
        </w:rPr>
        <w:t>。</w:t>
      </w:r>
    </w:p>
    <w:p>
      <w:pPr>
        <w:spacing w:line="600" w:lineRule="exact"/>
        <w:ind w:firstLine="800" w:firstLineChars="250"/>
        <w:outlineLvl w:val="1"/>
        <w:rPr>
          <w:rStyle w:val="28"/>
          <w:rFonts w:ascii="黑体" w:hAnsi="黑体" w:eastAsia="黑体"/>
          <w:color w:val="auto"/>
          <w:highlight w:val="none"/>
        </w:rPr>
      </w:pPr>
      <w:bookmarkStart w:id="47" w:name="_Toc15396612"/>
      <w:bookmarkStart w:id="48" w:name="_Toc15377221"/>
      <w:r>
        <w:rPr>
          <w:rFonts w:hint="eastAsia" w:ascii="黑体" w:hAnsi="黑体" w:eastAsia="黑体"/>
          <w:color w:val="auto"/>
          <w:sz w:val="32"/>
          <w:szCs w:val="32"/>
          <w:highlight w:val="none"/>
        </w:rPr>
        <w:t>十</w:t>
      </w:r>
      <w:r>
        <w:rPr>
          <w:rStyle w:val="28"/>
          <w:rFonts w:hint="eastAsia" w:ascii="黑体" w:hAnsi="黑体" w:eastAsia="黑体"/>
          <w:color w:val="auto"/>
          <w:highlight w:val="none"/>
        </w:rPr>
        <w:t>、</w:t>
      </w:r>
      <w:r>
        <w:rPr>
          <w:rStyle w:val="28"/>
          <w:rFonts w:hint="eastAsia" w:ascii="黑体" w:hAnsi="黑体" w:eastAsia="黑体"/>
          <w:b w:val="0"/>
          <w:color w:val="auto"/>
          <w:highlight w:val="none"/>
        </w:rPr>
        <w:t>其他重要事项的情况说明</w:t>
      </w:r>
      <w:bookmarkEnd w:id="47"/>
      <w:bookmarkEnd w:id="48"/>
    </w:p>
    <w:p>
      <w:pPr>
        <w:spacing w:line="600" w:lineRule="exact"/>
        <w:ind w:firstLine="643" w:firstLineChars="200"/>
        <w:outlineLvl w:val="2"/>
        <w:rPr>
          <w:rFonts w:ascii="仿宋" w:hAnsi="仿宋" w:eastAsia="仿宋"/>
          <w:color w:val="auto"/>
          <w:sz w:val="32"/>
          <w:szCs w:val="32"/>
          <w:highlight w:val="none"/>
        </w:rPr>
      </w:pPr>
      <w:bookmarkStart w:id="49" w:name="_Toc15377222"/>
      <w:r>
        <w:rPr>
          <w:rFonts w:hint="eastAsia" w:ascii="仿宋" w:hAnsi="仿宋" w:eastAsia="仿宋"/>
          <w:b/>
          <w:color w:val="auto"/>
          <w:sz w:val="32"/>
          <w:szCs w:val="32"/>
          <w:highlight w:val="none"/>
        </w:rPr>
        <w:t>（一）机关运行经费支出情况</w:t>
      </w:r>
      <w:bookmarkEnd w:id="49"/>
    </w:p>
    <w:p>
      <w:pPr>
        <w:spacing w:line="6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年，机关运行经费支出0万元，比201</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年增加/减少0万元，增长/下降0%。</w:t>
      </w:r>
    </w:p>
    <w:p>
      <w:pPr>
        <w:autoSpaceDE w:val="0"/>
        <w:autoSpaceDN w:val="0"/>
        <w:adjustRightInd w:val="0"/>
        <w:spacing w:line="600" w:lineRule="exact"/>
        <w:ind w:firstLine="643" w:firstLineChars="200"/>
        <w:jc w:val="left"/>
        <w:outlineLvl w:val="2"/>
        <w:rPr>
          <w:rFonts w:ascii="仿宋" w:hAnsi="仿宋" w:eastAsia="仿宋"/>
          <w:b/>
          <w:color w:val="auto"/>
          <w:sz w:val="32"/>
          <w:szCs w:val="32"/>
          <w:highlight w:val="none"/>
        </w:rPr>
      </w:pPr>
      <w:bookmarkStart w:id="50" w:name="_Toc15377223"/>
      <w:r>
        <w:rPr>
          <w:rFonts w:hint="eastAsia" w:ascii="仿宋" w:hAnsi="仿宋" w:eastAsia="仿宋"/>
          <w:b/>
          <w:color w:val="auto"/>
          <w:sz w:val="32"/>
          <w:szCs w:val="32"/>
          <w:highlight w:val="none"/>
        </w:rPr>
        <w:t>（二）政府采购支出情况</w:t>
      </w:r>
      <w:bookmarkEnd w:id="50"/>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年医院政府采购支出总额</w:t>
      </w:r>
      <w:r>
        <w:rPr>
          <w:rFonts w:hint="eastAsia" w:ascii="仿宋" w:hAnsi="仿宋" w:eastAsia="仿宋" w:cs="仿宋"/>
          <w:color w:val="auto"/>
          <w:sz w:val="28"/>
          <w:szCs w:val="28"/>
          <w:highlight w:val="none"/>
          <w:lang w:val="en-US" w:eastAsia="zh-CN"/>
        </w:rPr>
        <w:t>17391.70</w:t>
      </w:r>
      <w:r>
        <w:rPr>
          <w:rFonts w:hint="eastAsia" w:ascii="仿宋" w:hAnsi="仿宋" w:eastAsia="仿宋" w:cs="仿宋"/>
          <w:color w:val="auto"/>
          <w:sz w:val="28"/>
          <w:szCs w:val="28"/>
          <w:highlight w:val="none"/>
        </w:rPr>
        <w:t>万元，其中：政府采购货物支出</w:t>
      </w:r>
      <w:r>
        <w:rPr>
          <w:rFonts w:hint="eastAsia" w:ascii="仿宋" w:hAnsi="仿宋" w:eastAsia="仿宋" w:cs="仿宋"/>
          <w:color w:val="auto"/>
          <w:sz w:val="28"/>
          <w:szCs w:val="28"/>
          <w:highlight w:val="none"/>
          <w:lang w:val="en-US" w:eastAsia="zh-CN"/>
        </w:rPr>
        <w:t>16855.94</w:t>
      </w:r>
      <w:r>
        <w:rPr>
          <w:rFonts w:hint="eastAsia" w:ascii="仿宋" w:hAnsi="仿宋" w:eastAsia="仿宋" w:cs="仿宋"/>
          <w:color w:val="auto"/>
          <w:sz w:val="28"/>
          <w:szCs w:val="28"/>
          <w:highlight w:val="none"/>
        </w:rPr>
        <w:t>万元、政府采购工程支出</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万元、政府采购服务支出</w:t>
      </w:r>
      <w:r>
        <w:rPr>
          <w:rFonts w:hint="eastAsia" w:ascii="仿宋" w:hAnsi="仿宋" w:eastAsia="仿宋" w:cs="仿宋"/>
          <w:color w:val="auto"/>
          <w:sz w:val="28"/>
          <w:szCs w:val="28"/>
          <w:highlight w:val="none"/>
          <w:lang w:val="en-US" w:eastAsia="zh-CN"/>
        </w:rPr>
        <w:t>535.76</w:t>
      </w:r>
      <w:r>
        <w:rPr>
          <w:rFonts w:hint="eastAsia" w:ascii="仿宋" w:hAnsi="仿宋" w:eastAsia="仿宋" w:cs="仿宋"/>
          <w:color w:val="auto"/>
          <w:sz w:val="28"/>
          <w:szCs w:val="28"/>
          <w:highlight w:val="none"/>
        </w:rPr>
        <w:t>万元。主要用于</w:t>
      </w:r>
      <w:r>
        <w:rPr>
          <w:rFonts w:hint="eastAsia" w:ascii="仿宋" w:hAnsi="仿宋" w:eastAsia="仿宋" w:cs="仿宋"/>
          <w:color w:val="auto"/>
          <w:sz w:val="28"/>
          <w:szCs w:val="28"/>
          <w:highlight w:val="none"/>
          <w:lang w:eastAsia="zh-CN"/>
        </w:rPr>
        <w:t>医疗设备购置</w:t>
      </w:r>
      <w:r>
        <w:rPr>
          <w:rFonts w:hint="eastAsia" w:ascii="仿宋" w:hAnsi="仿宋" w:eastAsia="仿宋" w:cs="仿宋"/>
          <w:color w:val="auto"/>
          <w:sz w:val="28"/>
          <w:szCs w:val="28"/>
          <w:highlight w:val="none"/>
          <w:lang w:val="en-US" w:eastAsia="zh-CN"/>
        </w:rPr>
        <w:t>14665.54万元；安全设备129.83万元；病房柜、储物柜购置206.01万元；</w:t>
      </w:r>
      <w:r>
        <w:rPr>
          <w:rFonts w:hint="eastAsia" w:ascii="仿宋" w:hAnsi="仿宋" w:eastAsia="仿宋" w:cs="仿宋"/>
          <w:color w:val="auto"/>
          <w:sz w:val="28"/>
          <w:szCs w:val="28"/>
          <w:highlight w:val="none"/>
        </w:rPr>
        <w:t>信息化建设</w:t>
      </w:r>
      <w:r>
        <w:rPr>
          <w:rFonts w:hint="eastAsia" w:ascii="仿宋" w:hAnsi="仿宋" w:eastAsia="仿宋" w:cs="仿宋"/>
          <w:color w:val="auto"/>
          <w:sz w:val="28"/>
          <w:szCs w:val="28"/>
          <w:highlight w:val="none"/>
          <w:lang w:val="en-US" w:eastAsia="zh-CN"/>
        </w:rPr>
        <w:t>1138.15</w:t>
      </w:r>
      <w:r>
        <w:rPr>
          <w:rFonts w:hint="eastAsia" w:ascii="仿宋" w:hAnsi="仿宋" w:eastAsia="仿宋" w:cs="仿宋"/>
          <w:color w:val="auto"/>
          <w:sz w:val="28"/>
          <w:szCs w:val="28"/>
          <w:highlight w:val="none"/>
        </w:rPr>
        <w:t>万元</w:t>
      </w:r>
      <w:r>
        <w:rPr>
          <w:rFonts w:hint="eastAsia" w:ascii="仿宋" w:hAnsi="仿宋" w:eastAsia="仿宋" w:cs="仿宋"/>
          <w:color w:val="auto"/>
          <w:sz w:val="28"/>
          <w:szCs w:val="28"/>
          <w:highlight w:val="none"/>
          <w:lang w:eastAsia="zh-CN"/>
        </w:rPr>
        <w:t>；维保服务</w:t>
      </w:r>
      <w:r>
        <w:rPr>
          <w:rFonts w:hint="eastAsia" w:ascii="仿宋" w:hAnsi="仿宋" w:eastAsia="仿宋" w:cs="仿宋"/>
          <w:color w:val="auto"/>
          <w:sz w:val="28"/>
          <w:szCs w:val="28"/>
          <w:highlight w:val="none"/>
          <w:lang w:val="en-US" w:eastAsia="zh-CN"/>
        </w:rPr>
        <w:t>335.15万元；文化建设375.72万元</w:t>
      </w:r>
      <w:r>
        <w:rPr>
          <w:rFonts w:hint="eastAsia" w:ascii="仿宋" w:hAnsi="仿宋" w:eastAsia="仿宋" w:cs="仿宋"/>
          <w:color w:val="auto"/>
          <w:sz w:val="28"/>
          <w:szCs w:val="28"/>
          <w:highlight w:val="none"/>
        </w:rPr>
        <w:t>等。授予中小企业合同金额</w:t>
      </w:r>
      <w:r>
        <w:rPr>
          <w:rFonts w:hint="eastAsia" w:ascii="仿宋" w:hAnsi="仿宋" w:eastAsia="仿宋" w:cs="仿宋"/>
          <w:color w:val="auto"/>
          <w:sz w:val="28"/>
          <w:szCs w:val="28"/>
          <w:highlight w:val="none"/>
          <w:lang w:val="en-US" w:eastAsia="zh-CN"/>
        </w:rPr>
        <w:t>15196.06</w:t>
      </w:r>
      <w:r>
        <w:rPr>
          <w:rFonts w:hint="eastAsia" w:ascii="仿宋" w:hAnsi="仿宋" w:eastAsia="仿宋" w:cs="仿宋"/>
          <w:color w:val="auto"/>
          <w:sz w:val="28"/>
          <w:szCs w:val="28"/>
          <w:highlight w:val="none"/>
        </w:rPr>
        <w:t>万元，占政府采购支出总额的</w:t>
      </w:r>
      <w:r>
        <w:rPr>
          <w:rFonts w:hint="eastAsia" w:ascii="仿宋" w:hAnsi="仿宋" w:eastAsia="仿宋" w:cs="仿宋"/>
          <w:color w:val="auto"/>
          <w:sz w:val="28"/>
          <w:szCs w:val="28"/>
          <w:highlight w:val="none"/>
          <w:lang w:val="en-US" w:eastAsia="zh-CN"/>
        </w:rPr>
        <w:t>87.38</w:t>
      </w:r>
      <w:r>
        <w:rPr>
          <w:rFonts w:hint="eastAsia" w:ascii="仿宋" w:hAnsi="仿宋" w:eastAsia="仿宋" w:cs="仿宋"/>
          <w:color w:val="auto"/>
          <w:sz w:val="28"/>
          <w:szCs w:val="28"/>
          <w:highlight w:val="none"/>
        </w:rPr>
        <w:t>%，其中：授予小微企业合同金额</w:t>
      </w:r>
      <w:r>
        <w:rPr>
          <w:rFonts w:hint="eastAsia" w:ascii="仿宋" w:hAnsi="仿宋" w:eastAsia="仿宋" w:cs="仿宋"/>
          <w:color w:val="auto"/>
          <w:sz w:val="28"/>
          <w:szCs w:val="28"/>
          <w:highlight w:val="none"/>
          <w:lang w:val="en-US" w:eastAsia="zh-CN"/>
        </w:rPr>
        <w:t>13.10</w:t>
      </w:r>
      <w:r>
        <w:rPr>
          <w:rFonts w:hint="eastAsia" w:ascii="仿宋" w:hAnsi="仿宋" w:eastAsia="仿宋" w:cs="仿宋"/>
          <w:color w:val="auto"/>
          <w:sz w:val="28"/>
          <w:szCs w:val="28"/>
          <w:highlight w:val="none"/>
        </w:rPr>
        <w:t>万元，占政府采购支出总额的0.</w:t>
      </w:r>
      <w:r>
        <w:rPr>
          <w:rFonts w:hint="eastAsia" w:ascii="仿宋" w:hAnsi="仿宋" w:eastAsia="仿宋" w:cs="仿宋"/>
          <w:color w:val="auto"/>
          <w:sz w:val="28"/>
          <w:szCs w:val="28"/>
          <w:highlight w:val="none"/>
          <w:lang w:val="en-US" w:eastAsia="zh-CN"/>
        </w:rPr>
        <w:t>08</w:t>
      </w:r>
      <w:r>
        <w:rPr>
          <w:rFonts w:hint="eastAsia" w:ascii="仿宋" w:hAnsi="仿宋" w:eastAsia="仿宋" w:cs="仿宋"/>
          <w:color w:val="auto"/>
          <w:sz w:val="28"/>
          <w:szCs w:val="28"/>
          <w:highlight w:val="none"/>
        </w:rPr>
        <w:t>%。</w:t>
      </w:r>
    </w:p>
    <w:p>
      <w:pPr>
        <w:autoSpaceDE w:val="0"/>
        <w:autoSpaceDN w:val="0"/>
        <w:adjustRightInd w:val="0"/>
        <w:spacing w:line="600" w:lineRule="exact"/>
        <w:ind w:firstLine="643" w:firstLineChars="200"/>
        <w:jc w:val="left"/>
        <w:outlineLvl w:val="2"/>
        <w:rPr>
          <w:rFonts w:ascii="仿宋" w:hAnsi="仿宋" w:eastAsia="仿宋"/>
          <w:b/>
          <w:color w:val="auto"/>
          <w:sz w:val="32"/>
          <w:szCs w:val="32"/>
          <w:highlight w:val="none"/>
        </w:rPr>
      </w:pPr>
      <w:bookmarkStart w:id="51" w:name="_Toc15377224"/>
      <w:r>
        <w:rPr>
          <w:rFonts w:hint="eastAsia" w:ascii="仿宋" w:hAnsi="仿宋" w:eastAsia="仿宋"/>
          <w:b/>
          <w:color w:val="auto"/>
          <w:sz w:val="32"/>
          <w:szCs w:val="32"/>
          <w:highlight w:val="none"/>
        </w:rPr>
        <w:t>（三）国有资产占有使用情况</w:t>
      </w:r>
      <w:bookmarkEnd w:id="51"/>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截至</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年12月31日，</w:t>
      </w:r>
      <w:r>
        <w:rPr>
          <w:rFonts w:hint="eastAsia" w:ascii="仿宋" w:hAnsi="仿宋" w:eastAsia="仿宋" w:cs="仿宋"/>
          <w:color w:val="auto"/>
          <w:sz w:val="28"/>
          <w:szCs w:val="28"/>
          <w:highlight w:val="none"/>
          <w:lang w:eastAsia="zh-CN"/>
        </w:rPr>
        <w:t>泸州市中医</w:t>
      </w:r>
      <w:r>
        <w:rPr>
          <w:rFonts w:hint="eastAsia" w:ascii="仿宋" w:hAnsi="仿宋" w:eastAsia="仿宋" w:cs="仿宋"/>
          <w:color w:val="auto"/>
          <w:sz w:val="28"/>
          <w:szCs w:val="28"/>
          <w:highlight w:val="none"/>
        </w:rPr>
        <w:t>医院共有车辆</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辆，其中：部级领导干部用车0辆、一般公务用车2辆、一般执法执勤用车0辆、特种专业技术用车</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辆、其他用车0辆；单价50万元以上通用设备2台（套），单价100万元以上专用设备</w:t>
      </w:r>
      <w:r>
        <w:rPr>
          <w:rFonts w:hint="eastAsia" w:ascii="仿宋" w:hAnsi="仿宋" w:eastAsia="仿宋" w:cs="仿宋"/>
          <w:color w:val="auto"/>
          <w:sz w:val="28"/>
          <w:szCs w:val="28"/>
          <w:highlight w:val="none"/>
          <w:lang w:val="en-US" w:eastAsia="zh-CN"/>
        </w:rPr>
        <w:t>29</w:t>
      </w:r>
      <w:r>
        <w:rPr>
          <w:rFonts w:hint="eastAsia" w:ascii="仿宋" w:hAnsi="仿宋" w:eastAsia="仿宋" w:cs="仿宋"/>
          <w:color w:val="auto"/>
          <w:sz w:val="28"/>
          <w:szCs w:val="28"/>
          <w:highlight w:val="none"/>
        </w:rPr>
        <w:t>台（套）。</w:t>
      </w:r>
    </w:p>
    <w:p>
      <w:pPr>
        <w:autoSpaceDE w:val="0"/>
        <w:autoSpaceDN w:val="0"/>
        <w:adjustRightInd w:val="0"/>
        <w:spacing w:line="600" w:lineRule="exact"/>
        <w:ind w:firstLine="643" w:firstLineChars="200"/>
        <w:jc w:val="left"/>
        <w:outlineLvl w:val="2"/>
        <w:rPr>
          <w:rFonts w:ascii="仿宋" w:hAnsi="仿宋" w:eastAsia="仿宋"/>
          <w:b/>
          <w:color w:val="auto"/>
          <w:sz w:val="32"/>
          <w:szCs w:val="32"/>
          <w:highlight w:val="none"/>
        </w:rPr>
      </w:pPr>
      <w:r>
        <w:rPr>
          <w:rFonts w:hint="eastAsia" w:ascii="仿宋" w:hAnsi="仿宋" w:eastAsia="仿宋"/>
          <w:b/>
          <w:color w:val="auto"/>
          <w:sz w:val="32"/>
          <w:szCs w:val="32"/>
          <w:highlight w:val="none"/>
        </w:rPr>
        <w:t>（四）预算绩效管理情况。</w:t>
      </w:r>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根据预算绩效管理要求，单位在年初预算编制阶段，对</w:t>
      </w:r>
      <w:r>
        <w:rPr>
          <w:rFonts w:hint="eastAsia" w:ascii="仿宋" w:hAnsi="仿宋" w:eastAsia="仿宋" w:cs="仿宋"/>
          <w:color w:val="auto"/>
          <w:sz w:val="28"/>
          <w:szCs w:val="28"/>
          <w:highlight w:val="none"/>
          <w:lang w:val="en-US" w:eastAsia="zh-CN"/>
        </w:rPr>
        <w:t>5个项目编制了绩效目标，预算执行过程中，</w:t>
      </w:r>
      <w:r>
        <w:rPr>
          <w:rFonts w:hint="eastAsia" w:ascii="仿宋" w:hAnsi="仿宋" w:eastAsia="仿宋" w:cs="仿宋"/>
          <w:color w:val="auto"/>
          <w:sz w:val="28"/>
          <w:szCs w:val="28"/>
          <w:highlight w:val="none"/>
        </w:rPr>
        <w:t>选取</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个项目开展绩效监控，年终执行完毕后，对</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个项目开展了绩效目标完成情况自评。</w:t>
      </w:r>
    </w:p>
    <w:p>
      <w:pPr>
        <w:spacing w:line="500" w:lineRule="exact"/>
        <w:ind w:firstLine="642"/>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本单位按要求对</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部门整体支出开展绩效自评，从评价情况来看购置新设备开展新的医疗服务项目，提高疾病诊断的准确性，增加了医院收入结构；完善医院的医疗设施设备，减少误诊、漏诊造成的医疗纠纷，更好地为患者服务。</w:t>
      </w:r>
      <w:r>
        <w:rPr>
          <w:rFonts w:hint="eastAsia" w:ascii="仿宋" w:hAnsi="仿宋" w:eastAsia="仿宋" w:cs="仿宋"/>
          <w:color w:val="auto"/>
          <w:sz w:val="28"/>
          <w:szCs w:val="28"/>
          <w:highlight w:val="none"/>
          <w:lang w:eastAsia="zh-CN"/>
        </w:rPr>
        <w:t>同时，提高了医院的医疗服务能力和完善了医院的信息化建设，推动了智慧医院的建设。</w:t>
      </w:r>
    </w:p>
    <w:p>
      <w:pPr>
        <w:adjustRightInd w:val="0"/>
        <w:snapToGrid w:val="0"/>
        <w:spacing w:line="6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w:t>
      </w:r>
      <w:r>
        <w:rPr>
          <w:rFonts w:hint="eastAsia" w:ascii="仿宋" w:hAnsi="仿宋" w:eastAsia="仿宋" w:cs="仿宋"/>
          <w:color w:val="auto"/>
          <w:sz w:val="28"/>
          <w:szCs w:val="28"/>
          <w:highlight w:val="none"/>
          <w:lang w:eastAsia="zh-CN"/>
        </w:rPr>
        <w:t>单位</w:t>
      </w:r>
      <w:r>
        <w:rPr>
          <w:rFonts w:hint="eastAsia" w:ascii="仿宋" w:hAnsi="仿宋" w:eastAsia="仿宋" w:cs="仿宋"/>
          <w:color w:val="auto"/>
          <w:sz w:val="28"/>
          <w:szCs w:val="28"/>
          <w:highlight w:val="none"/>
        </w:rPr>
        <w:t>还自行组织了</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个项目支出绩效评价，从评价情况来看我单位通过开展住院医师规范化培训，提高了医疗服务能力，为各级医疗机构输送医疗人才；通过</w:t>
      </w:r>
      <w:r>
        <w:rPr>
          <w:rFonts w:hint="eastAsia" w:ascii="仿宋" w:hAnsi="仿宋" w:eastAsia="仿宋" w:cs="仿宋"/>
          <w:color w:val="auto"/>
          <w:sz w:val="28"/>
          <w:szCs w:val="28"/>
          <w:highlight w:val="none"/>
          <w:lang w:eastAsia="zh-CN"/>
        </w:rPr>
        <w:t>购置新设施、设备开展新的医疗项目，</w:t>
      </w:r>
      <w:r>
        <w:rPr>
          <w:rFonts w:hint="eastAsia" w:ascii="仿宋" w:hAnsi="仿宋" w:eastAsia="仿宋" w:cs="仿宋"/>
          <w:color w:val="auto"/>
          <w:sz w:val="28"/>
          <w:szCs w:val="28"/>
          <w:highlight w:val="none"/>
        </w:rPr>
        <w:t>从而提高医院的医疗安全质量管控和服务水平，推动智慧医院建设。</w:t>
      </w:r>
    </w:p>
    <w:p>
      <w:pPr>
        <w:numPr>
          <w:ilvl w:val="0"/>
          <w:numId w:val="2"/>
        </w:num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项目绩效目标完成情况。</w:t>
      </w:r>
      <w:r>
        <w:rPr>
          <w:rFonts w:hint="eastAsia" w:ascii="仿宋" w:hAnsi="仿宋" w:eastAsia="仿宋" w:cs="仿宋"/>
          <w:color w:val="auto"/>
          <w:sz w:val="28"/>
          <w:szCs w:val="28"/>
          <w:highlight w:val="none"/>
        </w:rPr>
        <w:br w:type="textWrapping"/>
      </w:r>
      <w:r>
        <w:rPr>
          <w:rFonts w:hint="eastAsia" w:ascii="仿宋" w:hAnsi="仿宋" w:eastAsia="仿宋" w:cs="仿宋"/>
          <w:color w:val="auto"/>
          <w:sz w:val="28"/>
          <w:szCs w:val="28"/>
          <w:highlight w:val="none"/>
        </w:rPr>
        <w:t xml:space="preserve">    本</w:t>
      </w:r>
      <w:r>
        <w:rPr>
          <w:rFonts w:hint="eastAsia" w:ascii="仿宋" w:hAnsi="仿宋" w:eastAsia="仿宋" w:cs="仿宋"/>
          <w:color w:val="auto"/>
          <w:sz w:val="28"/>
          <w:szCs w:val="28"/>
          <w:highlight w:val="none"/>
          <w:lang w:eastAsia="zh-CN"/>
        </w:rPr>
        <w:t>单位</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年度部门决算中反映“</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年定向补助”“</w:t>
      </w:r>
      <w:r>
        <w:rPr>
          <w:rFonts w:hint="eastAsia" w:ascii="仿宋" w:hAnsi="仿宋" w:eastAsia="仿宋" w:cs="仿宋"/>
          <w:color w:val="auto"/>
          <w:sz w:val="28"/>
          <w:szCs w:val="28"/>
          <w:highlight w:val="none"/>
          <w:lang w:eastAsia="zh-CN"/>
        </w:rPr>
        <w:t>新院建设设备购置补助经费</w:t>
      </w:r>
      <w:r>
        <w:rPr>
          <w:rFonts w:hint="eastAsia" w:ascii="仿宋" w:hAnsi="仿宋" w:eastAsia="仿宋" w:cs="仿宋"/>
          <w:color w:val="auto"/>
          <w:sz w:val="28"/>
          <w:szCs w:val="28"/>
          <w:highlight w:val="none"/>
        </w:rPr>
        <w:t>”“医疗服务能力提升中央补助（</w:t>
      </w:r>
      <w:r>
        <w:rPr>
          <w:rFonts w:hint="eastAsia" w:ascii="仿宋" w:hAnsi="仿宋" w:eastAsia="仿宋" w:cs="仿宋"/>
          <w:color w:val="auto"/>
          <w:sz w:val="28"/>
          <w:szCs w:val="28"/>
          <w:highlight w:val="none"/>
          <w:lang w:eastAsia="zh-CN"/>
        </w:rPr>
        <w:t>卫生健康人才培养</w:t>
      </w:r>
      <w:r>
        <w:rPr>
          <w:rFonts w:hint="eastAsia" w:ascii="仿宋" w:hAnsi="仿宋" w:eastAsia="仿宋" w:cs="仿宋"/>
          <w:color w:val="auto"/>
          <w:sz w:val="28"/>
          <w:szCs w:val="28"/>
          <w:highlight w:val="none"/>
        </w:rPr>
        <w:t>）”“ 省级财政中医药发展专项资金”“</w:t>
      </w:r>
      <w:r>
        <w:rPr>
          <w:rFonts w:hint="eastAsia" w:ascii="仿宋" w:hAnsi="仿宋" w:eastAsia="仿宋" w:cs="仿宋"/>
          <w:color w:val="auto"/>
          <w:sz w:val="28"/>
          <w:szCs w:val="28"/>
          <w:highlight w:val="none"/>
          <w:lang w:eastAsia="zh-CN"/>
        </w:rPr>
        <w:t>驻村人员补助经费</w:t>
      </w:r>
      <w:r>
        <w:rPr>
          <w:rFonts w:hint="eastAsia" w:ascii="仿宋" w:hAnsi="仿宋" w:eastAsia="仿宋" w:cs="仿宋"/>
          <w:color w:val="auto"/>
          <w:sz w:val="28"/>
          <w:szCs w:val="28"/>
          <w:highlight w:val="none"/>
        </w:rPr>
        <w:t>”等5个项目绩效目标实际完成情况。</w:t>
      </w:r>
    </w:p>
    <w:p>
      <w:pPr>
        <w:spacing w:line="500" w:lineRule="exact"/>
        <w:ind w:firstLine="642"/>
        <w:rPr>
          <w:rFonts w:hint="eastAsia" w:ascii="仿宋" w:hAnsi="仿宋" w:eastAsia="仿宋" w:cs="仿宋"/>
          <w:color w:val="auto"/>
          <w:sz w:val="28"/>
          <w:szCs w:val="28"/>
          <w:highlight w:val="none"/>
          <w:lang w:val="zh-CN"/>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年定向补助项目绩效目标完成情况综述。项目全年预算数491万元，执行数为</w:t>
      </w:r>
      <w:r>
        <w:rPr>
          <w:rFonts w:hint="eastAsia" w:ascii="仿宋" w:hAnsi="仿宋" w:eastAsia="仿宋" w:cs="仿宋"/>
          <w:color w:val="auto"/>
          <w:sz w:val="28"/>
          <w:szCs w:val="28"/>
          <w:highlight w:val="none"/>
          <w:lang w:val="en-US" w:eastAsia="zh-CN"/>
        </w:rPr>
        <w:t>449.95</w:t>
      </w:r>
      <w:r>
        <w:rPr>
          <w:rFonts w:hint="eastAsia" w:ascii="仿宋" w:hAnsi="仿宋" w:eastAsia="仿宋" w:cs="仿宋"/>
          <w:color w:val="auto"/>
          <w:sz w:val="28"/>
          <w:szCs w:val="28"/>
          <w:highlight w:val="none"/>
        </w:rPr>
        <w:t>万元，完成预算的</w:t>
      </w:r>
      <w:r>
        <w:rPr>
          <w:rFonts w:hint="eastAsia" w:ascii="仿宋" w:hAnsi="仿宋" w:eastAsia="仿宋" w:cs="仿宋"/>
          <w:color w:val="auto"/>
          <w:sz w:val="28"/>
          <w:szCs w:val="28"/>
          <w:highlight w:val="none"/>
          <w:lang w:val="en-US" w:eastAsia="zh-CN"/>
        </w:rPr>
        <w:t>91.64</w:t>
      </w:r>
      <w:r>
        <w:rPr>
          <w:rFonts w:hint="eastAsia" w:ascii="仿宋" w:hAnsi="仿宋" w:eastAsia="仿宋" w:cs="仿宋"/>
          <w:color w:val="auto"/>
          <w:sz w:val="28"/>
          <w:szCs w:val="28"/>
          <w:highlight w:val="none"/>
        </w:rPr>
        <w:t>%。通过项目实施，我院</w:t>
      </w:r>
      <w:r>
        <w:rPr>
          <w:rFonts w:hint="eastAsia" w:ascii="仿宋" w:hAnsi="仿宋" w:eastAsia="仿宋" w:cs="仿宋"/>
          <w:color w:val="auto"/>
          <w:sz w:val="28"/>
          <w:szCs w:val="28"/>
          <w:highlight w:val="none"/>
          <w:lang w:val="zh-CN"/>
        </w:rPr>
        <w:t>购置新设备开展了新的医疗服务项目，提高疾病诊断的准确性，增加了医院收入结构。完善医院的医疗设施设备，减少了误诊、漏诊造成的医疗纠纷，更好地为患者服务。发现的主要问题：该项目主要是购置设备，需通过政府采购，周期较长，存在预算购置的设备与实际支付的设备存在差异。下一步措施：加强预算管理和执行。</w:t>
      </w:r>
    </w:p>
    <w:p>
      <w:pPr>
        <w:numPr>
          <w:ilvl w:val="0"/>
          <w:numId w:val="3"/>
        </w:numPr>
        <w:spacing w:line="500" w:lineRule="exact"/>
        <w:ind w:firstLine="642"/>
        <w:rPr>
          <w:rFonts w:hint="eastAsia" w:ascii="仿宋" w:hAnsi="仿宋" w:eastAsia="仿宋" w:cs="仿宋"/>
          <w:color w:val="auto"/>
          <w:sz w:val="28"/>
          <w:szCs w:val="28"/>
          <w:highlight w:val="none"/>
          <w:lang w:val="zh-CN"/>
        </w:rPr>
      </w:pPr>
      <w:r>
        <w:rPr>
          <w:rFonts w:hint="eastAsia" w:ascii="仿宋" w:hAnsi="仿宋" w:eastAsia="仿宋" w:cs="仿宋"/>
          <w:color w:val="auto"/>
          <w:sz w:val="28"/>
          <w:szCs w:val="28"/>
          <w:highlight w:val="none"/>
          <w:lang w:eastAsia="zh-CN"/>
        </w:rPr>
        <w:t>新院建设设备购置补助经费</w:t>
      </w:r>
      <w:r>
        <w:rPr>
          <w:rFonts w:hint="eastAsia" w:ascii="仿宋" w:hAnsi="仿宋" w:eastAsia="仿宋" w:cs="仿宋"/>
          <w:color w:val="auto"/>
          <w:sz w:val="28"/>
          <w:szCs w:val="28"/>
          <w:highlight w:val="none"/>
        </w:rPr>
        <w:t>项目绩效目标完成情况综述。项目全年预算数</w:t>
      </w:r>
      <w:r>
        <w:rPr>
          <w:rFonts w:hint="eastAsia" w:ascii="仿宋" w:hAnsi="仿宋" w:eastAsia="仿宋" w:cs="仿宋"/>
          <w:color w:val="auto"/>
          <w:sz w:val="28"/>
          <w:szCs w:val="28"/>
          <w:highlight w:val="none"/>
          <w:lang w:val="en-US" w:eastAsia="zh-CN"/>
        </w:rPr>
        <w:t>1100</w:t>
      </w:r>
      <w:r>
        <w:rPr>
          <w:rFonts w:hint="eastAsia" w:ascii="仿宋" w:hAnsi="仿宋" w:eastAsia="仿宋" w:cs="仿宋"/>
          <w:color w:val="auto"/>
          <w:sz w:val="28"/>
          <w:szCs w:val="28"/>
          <w:highlight w:val="none"/>
        </w:rPr>
        <w:t>万元，</w:t>
      </w:r>
      <w:r>
        <w:rPr>
          <w:rFonts w:hint="eastAsia" w:ascii="仿宋" w:hAnsi="仿宋" w:eastAsia="仿宋" w:cs="仿宋"/>
          <w:color w:val="auto"/>
          <w:sz w:val="28"/>
          <w:szCs w:val="28"/>
          <w:highlight w:val="none"/>
          <w:lang w:eastAsia="zh-CN"/>
        </w:rPr>
        <w:t>年中追加</w:t>
      </w:r>
      <w:r>
        <w:rPr>
          <w:rFonts w:hint="eastAsia" w:ascii="仿宋" w:hAnsi="仿宋" w:eastAsia="仿宋" w:cs="仿宋"/>
          <w:color w:val="auto"/>
          <w:sz w:val="28"/>
          <w:szCs w:val="28"/>
          <w:highlight w:val="none"/>
          <w:lang w:val="en-US" w:eastAsia="zh-CN"/>
        </w:rPr>
        <w:t>240万元，</w:t>
      </w:r>
      <w:r>
        <w:rPr>
          <w:rFonts w:hint="eastAsia" w:ascii="仿宋" w:hAnsi="仿宋" w:eastAsia="仿宋" w:cs="仿宋"/>
          <w:color w:val="auto"/>
          <w:sz w:val="28"/>
          <w:szCs w:val="28"/>
          <w:highlight w:val="none"/>
        </w:rPr>
        <w:t>执行数为</w:t>
      </w:r>
      <w:r>
        <w:rPr>
          <w:rFonts w:hint="eastAsia" w:ascii="仿宋" w:hAnsi="仿宋" w:eastAsia="仿宋" w:cs="仿宋"/>
          <w:color w:val="auto"/>
          <w:sz w:val="28"/>
          <w:szCs w:val="28"/>
          <w:highlight w:val="none"/>
          <w:lang w:val="en-US" w:eastAsia="zh-CN"/>
        </w:rPr>
        <w:t>1316.89</w:t>
      </w:r>
      <w:r>
        <w:rPr>
          <w:rFonts w:hint="eastAsia" w:ascii="仿宋" w:hAnsi="仿宋" w:eastAsia="仿宋" w:cs="仿宋"/>
          <w:color w:val="auto"/>
          <w:sz w:val="28"/>
          <w:szCs w:val="28"/>
          <w:highlight w:val="none"/>
        </w:rPr>
        <w:t>万元，完成预算的</w:t>
      </w:r>
      <w:r>
        <w:rPr>
          <w:rFonts w:hint="eastAsia" w:ascii="仿宋" w:hAnsi="仿宋" w:eastAsia="仿宋" w:cs="仿宋"/>
          <w:color w:val="auto"/>
          <w:sz w:val="28"/>
          <w:szCs w:val="28"/>
          <w:highlight w:val="none"/>
          <w:lang w:val="en-US" w:eastAsia="zh-CN"/>
        </w:rPr>
        <w:t>98.28</w:t>
      </w:r>
      <w:r>
        <w:rPr>
          <w:rFonts w:hint="eastAsia" w:ascii="仿宋" w:hAnsi="仿宋" w:eastAsia="仿宋" w:cs="仿宋"/>
          <w:color w:val="auto"/>
          <w:sz w:val="28"/>
          <w:szCs w:val="28"/>
          <w:highlight w:val="none"/>
        </w:rPr>
        <w:t>%。通过项目实施，我院</w:t>
      </w:r>
      <w:r>
        <w:rPr>
          <w:rFonts w:hint="eastAsia" w:ascii="仿宋" w:hAnsi="仿宋" w:eastAsia="仿宋" w:cs="仿宋"/>
          <w:color w:val="auto"/>
          <w:sz w:val="28"/>
          <w:szCs w:val="28"/>
          <w:highlight w:val="none"/>
          <w:lang w:val="zh-CN"/>
        </w:rPr>
        <w:t>购置新设施设备、信息化建设等，改善医院就诊环境，有利于城南院区的顺利开诊。</w:t>
      </w:r>
    </w:p>
    <w:p>
      <w:pPr>
        <w:numPr>
          <w:ilvl w:val="0"/>
          <w:numId w:val="0"/>
        </w:numPr>
        <w:spacing w:line="500" w:lineRule="exact"/>
        <w:rPr>
          <w:rFonts w:ascii="仿宋" w:hAnsi="仿宋" w:eastAsia="仿宋" w:cs="仿宋"/>
          <w:color w:val="auto"/>
          <w:sz w:val="28"/>
          <w:szCs w:val="28"/>
          <w:highlight w:val="none"/>
          <w:lang w:val="zh-CN"/>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rPr>
        <w:t>3）医疗服务能力提升中央补助（</w:t>
      </w:r>
      <w:r>
        <w:rPr>
          <w:rFonts w:hint="eastAsia" w:ascii="仿宋" w:hAnsi="仿宋" w:eastAsia="仿宋" w:cs="仿宋"/>
          <w:color w:val="auto"/>
          <w:sz w:val="28"/>
          <w:szCs w:val="28"/>
          <w:highlight w:val="none"/>
          <w:lang w:eastAsia="zh-CN"/>
        </w:rPr>
        <w:t>卫生健康人才培养</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zh-CN"/>
        </w:rPr>
        <w:t>项目绩效目标完成情况综述。项目全年预算数</w:t>
      </w:r>
      <w:r>
        <w:rPr>
          <w:rFonts w:hint="eastAsia" w:ascii="仿宋" w:hAnsi="仿宋" w:eastAsia="仿宋" w:cs="仿宋"/>
          <w:color w:val="auto"/>
          <w:sz w:val="28"/>
          <w:szCs w:val="28"/>
          <w:highlight w:val="none"/>
          <w:lang w:val="en-US" w:eastAsia="zh-CN"/>
        </w:rPr>
        <w:t>465</w:t>
      </w:r>
      <w:r>
        <w:rPr>
          <w:rFonts w:hint="eastAsia" w:ascii="仿宋" w:hAnsi="仿宋" w:eastAsia="仿宋" w:cs="仿宋"/>
          <w:color w:val="auto"/>
          <w:sz w:val="28"/>
          <w:szCs w:val="28"/>
          <w:highlight w:val="none"/>
          <w:lang w:val="zh-CN"/>
        </w:rPr>
        <w:t>万元，执行数为</w:t>
      </w:r>
      <w:r>
        <w:rPr>
          <w:rFonts w:hint="eastAsia" w:ascii="仿宋" w:hAnsi="仿宋" w:eastAsia="仿宋" w:cs="仿宋"/>
          <w:color w:val="auto"/>
          <w:sz w:val="28"/>
          <w:szCs w:val="28"/>
          <w:highlight w:val="none"/>
          <w:lang w:val="en-US" w:eastAsia="zh-CN"/>
        </w:rPr>
        <w:t>465</w:t>
      </w:r>
      <w:r>
        <w:rPr>
          <w:rFonts w:hint="eastAsia" w:ascii="仿宋" w:hAnsi="仿宋" w:eastAsia="仿宋" w:cs="仿宋"/>
          <w:color w:val="auto"/>
          <w:sz w:val="28"/>
          <w:szCs w:val="28"/>
          <w:highlight w:val="none"/>
          <w:lang w:val="zh-CN"/>
        </w:rPr>
        <w:t>万元，完成预算的</w:t>
      </w:r>
      <w:r>
        <w:rPr>
          <w:rFonts w:hint="eastAsia" w:ascii="仿宋" w:hAnsi="仿宋" w:eastAsia="仿宋" w:cs="仿宋"/>
          <w:color w:val="auto"/>
          <w:sz w:val="28"/>
          <w:szCs w:val="28"/>
          <w:highlight w:val="none"/>
        </w:rPr>
        <w:t>100</w:t>
      </w:r>
      <w:r>
        <w:rPr>
          <w:rFonts w:hint="eastAsia" w:ascii="仿宋" w:hAnsi="仿宋" w:eastAsia="仿宋" w:cs="仿宋"/>
          <w:color w:val="auto"/>
          <w:sz w:val="28"/>
          <w:szCs w:val="28"/>
          <w:highlight w:val="none"/>
          <w:lang w:val="zh-CN"/>
        </w:rPr>
        <w:t>%。通过项目实施，加强住院医师规范化人员培训，为各级医疗机构输送中医药人才。发现的主要问题：培训过程中，学员考研、退培导致培训人员减少；教学实践活动经费少。下一步改进措施：出台相关政策，约束学员违约；加大教学实践活动经费投入，调整执行标准。</w:t>
      </w:r>
    </w:p>
    <w:p>
      <w:pPr>
        <w:numPr>
          <w:ilvl w:val="0"/>
          <w:numId w:val="4"/>
        </w:num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省级财政中医药发展专项资金项目绩效目标完成情况综述。项目全年预算数</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万元，执行数为</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万元，完成预算的100%。通过项目实施，进行医院科研研究，提升科研能力，为临床推广提供有力的临床依据；开发新产品，推动地方经济的发展。</w:t>
      </w:r>
    </w:p>
    <w:p>
      <w:pPr>
        <w:numPr>
          <w:ilvl w:val="0"/>
          <w:numId w:val="0"/>
        </w:numPr>
        <w:spacing w:line="500" w:lineRule="exact"/>
        <w:rPr>
          <w:rFonts w:hint="eastAsia" w:ascii="楷体_GB2312" w:hAnsi="楷体_GB2312" w:eastAsia="楷体_GB2312" w:cs="楷体_GB2312"/>
          <w:color w:val="auto"/>
          <w:sz w:val="32"/>
          <w:szCs w:val="32"/>
          <w:highlight w:val="none"/>
          <w:shd w:val="pct10" w:color="auto" w:fill="FFFFFF"/>
        </w:rPr>
      </w:pPr>
      <w:r>
        <w:rPr>
          <w:rFonts w:hint="eastAsia" w:ascii="仿宋" w:hAnsi="仿宋" w:eastAsia="仿宋" w:cs="仿宋"/>
          <w:color w:val="auto"/>
          <w:sz w:val="28"/>
          <w:szCs w:val="28"/>
          <w:highlight w:val="none"/>
          <w:lang w:val="en-US" w:eastAsia="zh-CN"/>
        </w:rPr>
        <w:t xml:space="preserve">     （5）</w:t>
      </w:r>
      <w:r>
        <w:rPr>
          <w:rFonts w:hint="eastAsia" w:ascii="仿宋" w:hAnsi="仿宋" w:eastAsia="仿宋" w:cs="仿宋"/>
          <w:color w:val="auto"/>
          <w:sz w:val="28"/>
          <w:szCs w:val="28"/>
          <w:highlight w:val="none"/>
          <w:lang w:eastAsia="zh-CN"/>
        </w:rPr>
        <w:t>驻村人员补助经费</w:t>
      </w:r>
      <w:r>
        <w:rPr>
          <w:rFonts w:hint="eastAsia" w:ascii="仿宋" w:hAnsi="仿宋" w:eastAsia="仿宋" w:cs="仿宋"/>
          <w:color w:val="auto"/>
          <w:sz w:val="28"/>
          <w:szCs w:val="28"/>
          <w:highlight w:val="none"/>
        </w:rPr>
        <w:t>项目绩效目标完成情况综述。项目全年预算数</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万元，执行数为</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万元，完成预算的</w:t>
      </w:r>
      <w:r>
        <w:rPr>
          <w:rFonts w:hint="eastAsia" w:ascii="仿宋" w:hAnsi="仿宋" w:eastAsia="仿宋" w:cs="仿宋"/>
          <w:color w:val="auto"/>
          <w:sz w:val="28"/>
          <w:szCs w:val="28"/>
          <w:highlight w:val="none"/>
          <w:lang w:val="en-US" w:eastAsia="zh-CN"/>
        </w:rPr>
        <w:t>100</w:t>
      </w:r>
      <w:r>
        <w:rPr>
          <w:rFonts w:hint="eastAsia" w:ascii="仿宋" w:hAnsi="仿宋" w:eastAsia="仿宋" w:cs="仿宋"/>
          <w:color w:val="auto"/>
          <w:sz w:val="28"/>
          <w:szCs w:val="28"/>
          <w:highlight w:val="none"/>
        </w:rPr>
        <w:t>%。通过项目实施，</w:t>
      </w:r>
      <w:r>
        <w:rPr>
          <w:rFonts w:hint="eastAsia" w:ascii="仿宋" w:hAnsi="仿宋" w:eastAsia="仿宋" w:cs="仿宋"/>
          <w:color w:val="auto"/>
          <w:sz w:val="28"/>
          <w:szCs w:val="28"/>
          <w:highlight w:val="none"/>
          <w:lang w:val="zh-CN"/>
        </w:rPr>
        <w:t>下派驻村干部到观兴镇骑龙村，开展脱贫攻坚工作，帮助贫困户摆脱贫困，提高村集体经济，全面走向小康。</w:t>
      </w:r>
    </w:p>
    <w:p>
      <w:pPr>
        <w:spacing w:line="500" w:lineRule="exact"/>
        <w:ind w:firstLine="642"/>
        <w:rPr>
          <w:rFonts w:hint="eastAsia" w:ascii="仿宋" w:hAnsi="仿宋" w:eastAsia="仿宋" w:cs="仿宋"/>
          <w:color w:val="auto"/>
          <w:sz w:val="28"/>
          <w:szCs w:val="28"/>
          <w:highlight w:val="none"/>
        </w:rPr>
      </w:pPr>
      <w:r>
        <w:rPr>
          <w:rFonts w:hint="eastAsia" w:ascii="楷体_GB2312" w:hAnsi="楷体_GB2312" w:eastAsia="楷体_GB2312" w:cs="楷体_GB2312"/>
          <w:sz w:val="32"/>
          <w:szCs w:val="32"/>
          <w:lang w:val="en-US" w:eastAsia="zh-CN"/>
        </w:rPr>
        <w:t xml:space="preserve">  </w:t>
      </w:r>
    </w:p>
    <w:tbl>
      <w:tblPr>
        <w:tblStyle w:val="16"/>
        <w:tblpPr w:leftFromText="180" w:rightFromText="180" w:vertAnchor="text" w:horzAnchor="page" w:tblpXSpec="center" w:tblpY="423"/>
        <w:tblOverlap w:val="never"/>
        <w:tblW w:w="996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5"/>
        <w:gridCol w:w="928"/>
        <w:gridCol w:w="992"/>
        <w:gridCol w:w="357"/>
        <w:gridCol w:w="2392"/>
        <w:gridCol w:w="2394"/>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3" w:hRule="atLeast"/>
          <w:jc w:val="center"/>
        </w:trPr>
        <w:tc>
          <w:tcPr>
            <w:tcW w:w="9960" w:type="dxa"/>
            <w:gridSpan w:val="7"/>
            <w:tcBorders>
              <w:top w:val="nil"/>
              <w:left w:val="nil"/>
              <w:bottom w:val="nil"/>
              <w:right w:val="nil"/>
            </w:tcBorders>
            <w:tcMar>
              <w:top w:w="15" w:type="dxa"/>
              <w:left w:w="15" w:type="dxa"/>
              <w:right w:w="15" w:type="dxa"/>
            </w:tcMar>
            <w:vAlign w:val="center"/>
          </w:tcPr>
          <w:p>
            <w:pPr>
              <w:widowControl/>
              <w:textAlignment w:val="center"/>
              <w:rPr>
                <w:rFonts w:hint="eastAsia" w:ascii="宋体" w:hAnsi="宋体" w:cs="宋体"/>
                <w:color w:val="auto"/>
                <w:kern w:val="0"/>
                <w:sz w:val="36"/>
                <w:szCs w:val="36"/>
                <w:highlight w:val="none"/>
              </w:rPr>
            </w:pPr>
            <w:r>
              <w:rPr>
                <w:rFonts w:hint="eastAsia" w:ascii="宋体" w:hAnsi="宋体" w:cs="宋体"/>
                <w:b/>
                <w:bCs/>
                <w:color w:val="auto"/>
                <w:kern w:val="0"/>
                <w:sz w:val="36"/>
                <w:szCs w:val="36"/>
                <w:highlight w:val="none"/>
                <w:lang w:val="en-US" w:eastAsia="zh-CN"/>
              </w:rPr>
              <w:t xml:space="preserve">                  </w:t>
            </w:r>
            <w:r>
              <w:rPr>
                <w:rFonts w:hint="eastAsia" w:ascii="宋体" w:hAnsi="宋体" w:cs="宋体"/>
                <w:b/>
                <w:bCs/>
                <w:color w:val="auto"/>
                <w:kern w:val="0"/>
                <w:sz w:val="32"/>
                <w:szCs w:val="32"/>
                <w:highlight w:val="none"/>
              </w:rPr>
              <w:t>项目绩效目标完成情况表</w:t>
            </w:r>
            <w:r>
              <w:rPr>
                <w:rFonts w:hint="eastAsia" w:ascii="宋体" w:hAnsi="宋体" w:cs="宋体"/>
                <w:color w:val="auto"/>
                <w:kern w:val="0"/>
                <w:sz w:val="36"/>
                <w:szCs w:val="36"/>
                <w:highlight w:val="none"/>
              </w:rPr>
              <w:t xml:space="preserve"> </w:t>
            </w:r>
          </w:p>
          <w:p>
            <w:pPr>
              <w:widowControl/>
              <w:ind w:firstLine="2880" w:firstLineChars="800"/>
              <w:textAlignment w:val="center"/>
              <w:rPr>
                <w:rFonts w:ascii="宋体" w:hAnsi="宋体" w:cs="宋体"/>
                <w:color w:val="auto"/>
                <w:sz w:val="36"/>
                <w:szCs w:val="36"/>
                <w:highlight w:val="none"/>
              </w:rPr>
            </w:pPr>
            <w:r>
              <w:rPr>
                <w:rFonts w:hint="eastAsia" w:ascii="宋体" w:hAnsi="宋体" w:cs="宋体"/>
                <w:color w:val="auto"/>
                <w:kern w:val="0"/>
                <w:sz w:val="36"/>
                <w:szCs w:val="36"/>
                <w:highlight w:val="none"/>
                <w:lang w:val="en-US" w:eastAsia="zh-CN"/>
              </w:rPr>
              <w:t xml:space="preserve">      </w:t>
            </w:r>
            <w:r>
              <w:rPr>
                <w:rFonts w:hint="eastAsia" w:ascii="宋体" w:hAnsi="宋体" w:cs="宋体"/>
                <w:color w:val="auto"/>
                <w:kern w:val="0"/>
                <w:sz w:val="32"/>
                <w:szCs w:val="32"/>
                <w:highlight w:val="none"/>
                <w:lang w:eastAsia="zh-CN"/>
              </w:rPr>
              <w:t>（</w:t>
            </w:r>
            <w:r>
              <w:rPr>
                <w:rFonts w:hint="eastAsia" w:ascii="宋体" w:hAnsi="宋体" w:cs="宋体"/>
                <w:color w:val="auto"/>
                <w:kern w:val="0"/>
                <w:sz w:val="32"/>
                <w:szCs w:val="32"/>
                <w:highlight w:val="none"/>
                <w:lang w:val="en-US" w:eastAsia="zh-CN"/>
              </w:rPr>
              <w:t>2020年度）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3" w:hRule="atLeast"/>
          <w:jc w:val="center"/>
        </w:trPr>
        <w:tc>
          <w:tcPr>
            <w:tcW w:w="278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2020</w:t>
            </w:r>
            <w:r>
              <w:rPr>
                <w:rFonts w:hint="eastAsia" w:ascii="仿宋" w:hAnsi="仿宋" w:eastAsia="仿宋" w:cs="仿宋"/>
                <w:color w:val="auto"/>
                <w:szCs w:val="21"/>
                <w:highlight w:val="none"/>
              </w:rPr>
              <w:t>年定向补助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3" w:hRule="atLeast"/>
          <w:jc w:val="center"/>
        </w:trPr>
        <w:tc>
          <w:tcPr>
            <w:tcW w:w="278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泸州市中医医院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1" w:hRule="atLeast"/>
          <w:jc w:val="center"/>
        </w:trPr>
        <w:tc>
          <w:tcPr>
            <w:tcW w:w="50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预算执行情况元)</w:t>
            </w:r>
          </w:p>
        </w:tc>
        <w:tc>
          <w:tcPr>
            <w:tcW w:w="227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491万元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449.95</w:t>
            </w:r>
            <w:r>
              <w:rPr>
                <w:rFonts w:hint="eastAsia" w:ascii="仿宋" w:hAnsi="仿宋" w:eastAsia="仿宋" w:cs="仿宋"/>
                <w:color w:val="auto"/>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6"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227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491万元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449.95</w:t>
            </w:r>
            <w:r>
              <w:rPr>
                <w:rFonts w:hint="eastAsia" w:ascii="仿宋" w:hAnsi="仿宋" w:eastAsia="仿宋" w:cs="仿宋"/>
                <w:color w:val="auto"/>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jc w:val="center"/>
        </w:trPr>
        <w:tc>
          <w:tcPr>
            <w:tcW w:w="50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227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6" w:hRule="atLeast"/>
          <w:jc w:val="center"/>
        </w:trPr>
        <w:tc>
          <w:tcPr>
            <w:tcW w:w="50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年度目标完成情况</w:t>
            </w:r>
          </w:p>
        </w:tc>
        <w:tc>
          <w:tcPr>
            <w:tcW w:w="4669"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jc w:val="center"/>
        </w:trPr>
        <w:tc>
          <w:tcPr>
            <w:tcW w:w="50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4669"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zh-CN"/>
              </w:rPr>
              <w:t>计划新增医疗项目、提高效率与准确性、改善医疗设施设备购数字X线成像系统（DR）、数字胃肠机、高频电外科手术系统等设施设备。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实际购置45台医疗设备，</w:t>
            </w:r>
            <w:r>
              <w:rPr>
                <w:rFonts w:hint="eastAsia" w:ascii="仿宋" w:hAnsi="仿宋" w:eastAsia="仿宋" w:cs="仿宋"/>
                <w:color w:val="auto"/>
                <w:szCs w:val="21"/>
                <w:highlight w:val="none"/>
                <w:lang w:val="zh-CN"/>
              </w:rPr>
              <w:t>新增了医疗项目、提高医疗效率与准确性、改善医疗设施设备。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7" w:hRule="atLeast"/>
          <w:jc w:val="center"/>
        </w:trPr>
        <w:tc>
          <w:tcPr>
            <w:tcW w:w="50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绩效指标完成情况</w:t>
            </w: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一级指标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二级指标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实际完成指标值(包含数字及文字描述)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9"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数量指标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医疗专业设备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45</w:t>
            </w:r>
            <w:r>
              <w:rPr>
                <w:rFonts w:hint="eastAsia" w:ascii="仿宋" w:hAnsi="仿宋" w:eastAsia="仿宋" w:cs="仿宋"/>
                <w:color w:val="auto"/>
                <w:szCs w:val="21"/>
                <w:highlight w:val="none"/>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7"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质量指标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设备安装调试验收合格率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达到预期目标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达到预期目标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9"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质量指标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开展新的医疗项目</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达到预期目标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达到预期目标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7"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时效指标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设备购置完成时间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于2020年12月31日前完成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于2020年12月31日前完成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5"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成本指标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医疗专业设备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491万元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完成449.95</w:t>
            </w:r>
            <w:r>
              <w:rPr>
                <w:rFonts w:hint="eastAsia" w:ascii="仿宋" w:hAnsi="仿宋" w:eastAsia="仿宋" w:cs="仿宋"/>
                <w:color w:val="auto"/>
                <w:szCs w:val="21"/>
                <w:highlight w:val="none"/>
              </w:rPr>
              <w:t>万元</w:t>
            </w:r>
            <w:r>
              <w:rPr>
                <w:rFonts w:hint="eastAsia" w:ascii="仿宋" w:hAnsi="仿宋" w:eastAsia="仿宋" w:cs="仿宋"/>
                <w:color w:val="auto"/>
                <w:szCs w:val="21"/>
                <w:highlight w:val="none"/>
                <w:lang w:eastAsia="zh-CN"/>
              </w:rPr>
              <w:t>，余</w:t>
            </w:r>
            <w:r>
              <w:rPr>
                <w:rFonts w:hint="eastAsia" w:ascii="仿宋" w:hAnsi="仿宋" w:eastAsia="仿宋" w:cs="仿宋"/>
                <w:color w:val="auto"/>
                <w:szCs w:val="21"/>
                <w:highlight w:val="none"/>
                <w:lang w:val="en-US" w:eastAsia="zh-CN"/>
              </w:rPr>
              <w:t>41.05在年末支付时因供应商账号有误退回，于下年初支付。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5"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经济效益指标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促进医疗事业发展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购置新设备可开展新的医疗服务项目，提高疾病诊断的准确性。</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购置新设备可开展新的医疗服务项目，提高疾病诊断的准确性。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42"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社会效益指标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对社会的促进作用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完善医院的医疗设施设备，更好地为患者服务</w:t>
            </w:r>
            <w:r>
              <w:rPr>
                <w:rFonts w:hint="eastAsia" w:ascii="仿宋" w:hAnsi="仿宋" w:eastAsia="仿宋" w:cs="仿宋"/>
                <w:color w:val="auto"/>
                <w:szCs w:val="21"/>
                <w:highlight w:val="none"/>
                <w:lang w:val="en-US"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完善医院的医疗设施设备，更好地为患者服务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7"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可持续影响指标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设备运行情况</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≥5年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9"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服务对象满意度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7" w:hRule="atLeast"/>
          <w:jc w:val="center"/>
        </w:trPr>
        <w:tc>
          <w:tcPr>
            <w:tcW w:w="50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使用科室满意度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jc w:val="center"/>
        </w:trPr>
        <w:tc>
          <w:tcPr>
            <w:tcW w:w="50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9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p>
            <w:pPr>
              <w:widowControl/>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满意度指标</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满意度指标</w:t>
            </w:r>
          </w:p>
        </w:tc>
        <w:tc>
          <w:tcPr>
            <w:tcW w:w="274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主管部门满意度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649"/>
              </w:tabs>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85%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85%</w:t>
            </w:r>
          </w:p>
        </w:tc>
      </w:tr>
    </w:tbl>
    <w:tbl>
      <w:tblPr>
        <w:tblStyle w:val="16"/>
        <w:tblpPr w:leftFromText="180" w:rightFromText="180" w:vertAnchor="text" w:horzAnchor="page" w:tblpXSpec="center" w:tblpY="-1206"/>
        <w:tblOverlap w:val="never"/>
        <w:tblW w:w="996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15"/>
        <w:gridCol w:w="1320"/>
        <w:gridCol w:w="947"/>
        <w:gridCol w:w="2428"/>
        <w:gridCol w:w="2358"/>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b/>
                <w:bCs/>
                <w:color w:val="auto"/>
                <w:kern w:val="0"/>
                <w:sz w:val="36"/>
                <w:szCs w:val="36"/>
                <w:highlight w:val="none"/>
              </w:rPr>
            </w:pPr>
          </w:p>
          <w:p>
            <w:pPr>
              <w:widowControl/>
              <w:jc w:val="center"/>
              <w:textAlignment w:val="center"/>
              <w:rPr>
                <w:rFonts w:ascii="宋体" w:hAnsi="宋体" w:cs="宋体"/>
                <w:b/>
                <w:bCs/>
                <w:color w:val="auto"/>
                <w:kern w:val="0"/>
                <w:sz w:val="36"/>
                <w:szCs w:val="36"/>
                <w:highlight w:val="none"/>
              </w:rPr>
            </w:pPr>
          </w:p>
          <w:p>
            <w:pPr>
              <w:widowControl/>
              <w:jc w:val="center"/>
              <w:textAlignment w:val="center"/>
              <w:rPr>
                <w:rFonts w:ascii="宋体" w:hAnsi="宋体" w:cs="宋体"/>
                <w:color w:val="auto"/>
                <w:sz w:val="36"/>
                <w:szCs w:val="36"/>
                <w:highlight w:val="none"/>
              </w:rPr>
            </w:pPr>
            <w:r>
              <w:rPr>
                <w:rFonts w:hint="eastAsia" w:ascii="宋体" w:hAnsi="宋体" w:cs="宋体"/>
                <w:b/>
                <w:bCs/>
                <w:color w:val="auto"/>
                <w:kern w:val="0"/>
                <w:sz w:val="32"/>
                <w:szCs w:val="32"/>
                <w:highlight w:val="none"/>
              </w:rPr>
              <w:t>项目绩效目标完成情况表</w:t>
            </w:r>
            <w:r>
              <w:rPr>
                <w:rFonts w:hint="eastAsia" w:ascii="宋体" w:hAnsi="宋体" w:cs="宋体"/>
                <w:b/>
                <w:bCs/>
                <w:color w:val="auto"/>
                <w:kern w:val="0"/>
                <w:sz w:val="32"/>
                <w:szCs w:val="32"/>
                <w:highlight w:val="none"/>
              </w:rPr>
              <w:br w:type="textWrapping"/>
            </w:r>
            <w:r>
              <w:rPr>
                <w:rFonts w:hint="eastAsia" w:ascii="宋体" w:hAnsi="宋体" w:cs="宋体"/>
                <w:b/>
                <w:bCs/>
                <w:color w:val="auto"/>
                <w:kern w:val="0"/>
                <w:sz w:val="32"/>
                <w:szCs w:val="32"/>
                <w:highlight w:val="none"/>
              </w:rPr>
              <w:t>(</w:t>
            </w:r>
            <w:r>
              <w:rPr>
                <w:rFonts w:hint="eastAsia" w:ascii="宋体" w:hAnsi="宋体" w:cs="宋体"/>
                <w:b/>
                <w:bCs/>
                <w:color w:val="auto"/>
                <w:kern w:val="0"/>
                <w:sz w:val="32"/>
                <w:szCs w:val="32"/>
                <w:highlight w:val="none"/>
                <w:lang w:val="en-US" w:eastAsia="zh-CN"/>
              </w:rPr>
              <w:t>2020</w:t>
            </w:r>
            <w:r>
              <w:rPr>
                <w:rFonts w:hint="eastAsia" w:ascii="宋体" w:hAnsi="宋体" w:cs="宋体"/>
                <w:b/>
                <w:bCs/>
                <w:color w:val="auto"/>
                <w:kern w:val="0"/>
                <w:sz w:val="32"/>
                <w:szCs w:val="32"/>
                <w:highlight w:val="none"/>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新院建设设备购置补助经费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7"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泸州市中医医院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7" w:hRule="atLeast"/>
          <w:jc w:val="center"/>
        </w:trPr>
        <w:tc>
          <w:tcPr>
            <w:tcW w:w="51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预算执行情况</w:t>
            </w:r>
          </w:p>
        </w:tc>
        <w:tc>
          <w:tcPr>
            <w:tcW w:w="22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预算数:</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1340</w:t>
            </w:r>
            <w:r>
              <w:rPr>
                <w:rFonts w:hint="eastAsia" w:ascii="仿宋" w:hAnsi="仿宋" w:eastAsia="仿宋" w:cs="仿宋"/>
                <w:color w:val="auto"/>
                <w:szCs w:val="21"/>
                <w:highlight w:val="none"/>
              </w:rPr>
              <w:t>万元</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1316.89</w:t>
            </w:r>
            <w:r>
              <w:rPr>
                <w:rFonts w:hint="eastAsia" w:ascii="仿宋" w:hAnsi="仿宋" w:eastAsia="仿宋" w:cs="仿宋"/>
                <w:color w:val="auto"/>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7" w:hRule="atLeast"/>
          <w:jc w:val="center"/>
        </w:trPr>
        <w:tc>
          <w:tcPr>
            <w:tcW w:w="515"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22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其中-财政拨款:</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1340</w:t>
            </w:r>
            <w:r>
              <w:rPr>
                <w:rFonts w:hint="eastAsia" w:ascii="仿宋" w:hAnsi="仿宋" w:eastAsia="仿宋" w:cs="仿宋"/>
                <w:color w:val="auto"/>
                <w:szCs w:val="21"/>
                <w:highlight w:val="none"/>
              </w:rPr>
              <w:t>万元</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1316.89</w:t>
            </w:r>
            <w:r>
              <w:rPr>
                <w:rFonts w:hint="eastAsia" w:ascii="仿宋" w:hAnsi="仿宋" w:eastAsia="仿宋" w:cs="仿宋"/>
                <w:color w:val="auto"/>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1" w:hRule="atLeast"/>
          <w:jc w:val="center"/>
        </w:trPr>
        <w:tc>
          <w:tcPr>
            <w:tcW w:w="5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22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其它资金:</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0</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7" w:hRule="atLeast"/>
          <w:jc w:val="center"/>
        </w:trPr>
        <w:tc>
          <w:tcPr>
            <w:tcW w:w="51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年度目标完成情况</w:t>
            </w:r>
          </w:p>
        </w:tc>
        <w:tc>
          <w:tcPr>
            <w:tcW w:w="4695"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预期目标</w:t>
            </w:r>
          </w:p>
        </w:tc>
        <w:tc>
          <w:tcPr>
            <w:tcW w:w="47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90" w:hRule="atLeast"/>
          <w:jc w:val="center"/>
        </w:trPr>
        <w:tc>
          <w:tcPr>
            <w:tcW w:w="515" w:type="dxa"/>
            <w:vMerge w:val="continue"/>
            <w:tcBorders>
              <w:left w:val="single" w:color="000000" w:sz="4" w:space="0"/>
              <w:bottom w:val="single" w:color="auto"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4695"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为了城南院区顺利开诊，购置医疗设施设备，改善医疗设施设备。</w:t>
            </w:r>
          </w:p>
        </w:tc>
        <w:tc>
          <w:tcPr>
            <w:tcW w:w="47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pPr>
              <w:widowControl/>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年初项目预算额为</w:t>
            </w:r>
            <w:r>
              <w:rPr>
                <w:rFonts w:hint="eastAsia" w:ascii="仿宋" w:hAnsi="仿宋" w:eastAsia="仿宋" w:cs="仿宋"/>
                <w:color w:val="auto"/>
                <w:szCs w:val="21"/>
                <w:highlight w:val="none"/>
                <w:lang w:val="en-US" w:eastAsia="zh-CN"/>
              </w:rPr>
              <w:t>1100万元，后财政追加调整为1340万元。</w:t>
            </w:r>
            <w:r>
              <w:rPr>
                <w:rFonts w:hint="eastAsia" w:ascii="仿宋" w:hAnsi="仿宋" w:eastAsia="仿宋" w:cs="仿宋"/>
                <w:color w:val="auto"/>
                <w:szCs w:val="21"/>
                <w:highlight w:val="none"/>
                <w:lang w:eastAsia="zh-CN"/>
              </w:rPr>
              <w:t>购置了新的医疗设备，开展了信息化建设，便于城南医院的顺利开诊。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9" w:hRule="atLeast"/>
          <w:jc w:val="center"/>
        </w:trPr>
        <w:tc>
          <w:tcPr>
            <w:tcW w:w="515"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绩效指标完成情况</w:t>
            </w: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一级指标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二级指标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三级指标</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实际完成指标值(包含数字及文字描述)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4"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zh-CN"/>
              </w:rPr>
              <w:t>数量指标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zh-CN"/>
              </w:rPr>
              <w:t>医疗专业设备</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center" w:pos="1164"/>
              </w:tabs>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val="en-US" w:eastAsia="zh-CN"/>
              </w:rPr>
              <w:t>3台</w:t>
            </w:r>
            <w:r>
              <w:rPr>
                <w:rFonts w:hint="eastAsia" w:ascii="仿宋" w:hAnsi="仿宋" w:eastAsia="仿宋" w:cs="仿宋"/>
                <w:color w:val="auto"/>
                <w:szCs w:val="21"/>
                <w:highlight w:val="none"/>
                <w:lang w:val="en-US" w:eastAsia="zh-CN"/>
              </w:rPr>
              <w:tab/>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37台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质量指标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设备安装调试验收合格率</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3"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时效</w:t>
            </w:r>
            <w:r>
              <w:rPr>
                <w:rFonts w:hint="eastAsia" w:ascii="仿宋" w:hAnsi="仿宋" w:eastAsia="仿宋" w:cs="仿宋"/>
                <w:color w:val="auto"/>
                <w:szCs w:val="21"/>
                <w:highlight w:val="none"/>
              </w:rPr>
              <w:t>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设备设购完成时间</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 xml:space="preserve"> </w:t>
            </w:r>
            <w:r>
              <w:rPr>
                <w:rFonts w:hint="eastAsia" w:ascii="仿宋" w:hAnsi="仿宋" w:eastAsia="仿宋" w:cs="仿宋"/>
                <w:color w:val="auto"/>
                <w:szCs w:val="21"/>
                <w:highlight w:val="none"/>
                <w:lang w:val="en-US" w:eastAsia="zh-CN"/>
              </w:rPr>
              <w:t>2020年12月31日前完成。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 xml:space="preserve"> </w:t>
            </w:r>
            <w:r>
              <w:rPr>
                <w:rFonts w:hint="eastAsia" w:ascii="仿宋" w:hAnsi="仿宋" w:eastAsia="仿宋" w:cs="仿宋"/>
                <w:color w:val="auto"/>
                <w:szCs w:val="21"/>
                <w:highlight w:val="none"/>
                <w:lang w:val="en-US" w:eastAsia="zh-CN"/>
              </w:rPr>
              <w:t>2020年12月31日前完成。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9"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成本指标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ICU床旁彩超机</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95</w:t>
            </w:r>
            <w:r>
              <w:rPr>
                <w:rFonts w:hint="eastAsia" w:ascii="仿宋" w:hAnsi="仿宋" w:eastAsia="仿宋" w:cs="仿宋"/>
                <w:color w:val="auto"/>
                <w:szCs w:val="21"/>
                <w:highlight w:val="none"/>
              </w:rPr>
              <w:t>万</w:t>
            </w:r>
          </w:p>
        </w:tc>
        <w:tc>
          <w:tcPr>
            <w:tcW w:w="239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医疗设备</w:t>
            </w:r>
            <w:r>
              <w:rPr>
                <w:rFonts w:hint="eastAsia" w:ascii="仿宋" w:hAnsi="仿宋" w:eastAsia="仿宋" w:cs="仿宋"/>
                <w:color w:val="auto"/>
                <w:szCs w:val="21"/>
                <w:highlight w:val="none"/>
                <w:lang w:val="en-US" w:eastAsia="zh-CN"/>
              </w:rPr>
              <w:t>513.16万元，通用设备25.46万元，信息化建设353.13万元，球管79.61万元和储备柜等345.53万元。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9"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成本指标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高频电外科手术系统</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90万</w:t>
            </w:r>
          </w:p>
        </w:tc>
        <w:tc>
          <w:tcPr>
            <w:tcW w:w="2392" w:type="dxa"/>
            <w:vMerge w:val="continue"/>
            <w:tcBorders>
              <w:left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9"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成本指标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数字减影血管造影X光机（DSA）</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915万</w:t>
            </w:r>
          </w:p>
        </w:tc>
        <w:tc>
          <w:tcPr>
            <w:tcW w:w="2392"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09"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经济效益指标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促进医疗事业发展</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为城南院区顺利开诊作准备，开展新的医疗服务项目，提高医疗收入。</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为城南院区顺利开诊作准备，开展新的医疗服务项目，提高医疗收入。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65"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社会效益指标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对社会的促进作用</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完善医院的医疗设施设备，更好地为患者服务</w:t>
            </w:r>
            <w:r>
              <w:rPr>
                <w:rFonts w:hint="eastAsia" w:ascii="仿宋" w:hAnsi="仿宋" w:eastAsia="仿宋" w:cs="仿宋"/>
                <w:color w:val="auto"/>
                <w:szCs w:val="21"/>
                <w:highlight w:val="none"/>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完善医院的医疗设施设备，更好地为患者服务</w:t>
            </w:r>
            <w:r>
              <w:rPr>
                <w:rFonts w:hint="eastAsia" w:ascii="仿宋" w:hAnsi="仿宋" w:eastAsia="仿宋" w:cs="仿宋"/>
                <w:color w:val="auto"/>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44"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可持续影响指标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设备运行情况</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5年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pPr>
              <w:widowControl/>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91"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服务对象满意度</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2"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使用科室满意度</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2" w:hRule="atLeast"/>
          <w:jc w:val="center"/>
        </w:trPr>
        <w:tc>
          <w:tcPr>
            <w:tcW w:w="51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p>
        </w:tc>
        <w:tc>
          <w:tcPr>
            <w:tcW w:w="132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9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4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主管部门满意度</w:t>
            </w:r>
          </w:p>
        </w:tc>
        <w:tc>
          <w:tcPr>
            <w:tcW w:w="23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85%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85%</w:t>
            </w:r>
          </w:p>
        </w:tc>
      </w:tr>
    </w:tbl>
    <w:tbl>
      <w:tblPr>
        <w:tblStyle w:val="16"/>
        <w:tblpPr w:leftFromText="180" w:rightFromText="180" w:vertAnchor="text" w:horzAnchor="page" w:tblpXSpec="center" w:tblpY="-1438"/>
        <w:tblOverlap w:val="never"/>
        <w:tblW w:w="996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0"/>
        <w:gridCol w:w="1237"/>
        <w:gridCol w:w="1025"/>
        <w:gridCol w:w="2392"/>
        <w:gridCol w:w="2394"/>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b/>
                <w:bCs/>
                <w:color w:val="auto"/>
                <w:kern w:val="0"/>
                <w:sz w:val="36"/>
                <w:szCs w:val="36"/>
                <w:highlight w:val="none"/>
              </w:rPr>
            </w:pPr>
          </w:p>
          <w:p>
            <w:pPr>
              <w:widowControl/>
              <w:jc w:val="center"/>
              <w:textAlignment w:val="center"/>
              <w:rPr>
                <w:rFonts w:ascii="宋体" w:hAnsi="宋体" w:cs="宋体"/>
                <w:b/>
                <w:bCs/>
                <w:color w:val="auto"/>
                <w:kern w:val="0"/>
                <w:sz w:val="36"/>
                <w:szCs w:val="36"/>
                <w:highlight w:val="none"/>
              </w:rPr>
            </w:pPr>
          </w:p>
          <w:p>
            <w:pPr>
              <w:widowControl/>
              <w:jc w:val="center"/>
              <w:textAlignment w:val="center"/>
              <w:rPr>
                <w:rFonts w:ascii="宋体" w:hAnsi="宋体" w:cs="宋体"/>
                <w:color w:val="auto"/>
                <w:sz w:val="36"/>
                <w:szCs w:val="36"/>
                <w:highlight w:val="none"/>
              </w:rPr>
            </w:pPr>
            <w:r>
              <w:rPr>
                <w:rFonts w:hint="eastAsia" w:ascii="宋体" w:hAnsi="宋体" w:cs="宋体"/>
                <w:b/>
                <w:bCs/>
                <w:color w:val="auto"/>
                <w:kern w:val="0"/>
                <w:sz w:val="36"/>
                <w:szCs w:val="36"/>
                <w:highlight w:val="none"/>
              </w:rPr>
              <w:t>项目绩效目标完成情况表</w:t>
            </w:r>
            <w:r>
              <w:rPr>
                <w:rFonts w:hint="eastAsia" w:ascii="宋体" w:hAnsi="宋体" w:cs="宋体"/>
                <w:b/>
                <w:bCs/>
                <w:color w:val="auto"/>
                <w:kern w:val="0"/>
                <w:sz w:val="36"/>
                <w:szCs w:val="36"/>
                <w:highlight w:val="none"/>
              </w:rPr>
              <w:br w:type="textWrapping"/>
            </w:r>
            <w:r>
              <w:rPr>
                <w:rFonts w:hint="eastAsia" w:ascii="宋体" w:hAnsi="宋体" w:cs="宋体"/>
                <w:color w:val="auto"/>
                <w:kern w:val="0"/>
                <w:sz w:val="36"/>
                <w:szCs w:val="36"/>
                <w:highlight w:val="none"/>
              </w:rPr>
              <w:t>(</w:t>
            </w:r>
            <w:r>
              <w:rPr>
                <w:rFonts w:hint="eastAsia" w:ascii="宋体" w:hAnsi="宋体" w:cs="宋体"/>
                <w:color w:val="auto"/>
                <w:kern w:val="0"/>
                <w:sz w:val="36"/>
                <w:szCs w:val="36"/>
                <w:highlight w:val="none"/>
                <w:lang w:val="en-US" w:eastAsia="zh-CN"/>
              </w:rPr>
              <w:t>2020</w:t>
            </w:r>
            <w:r>
              <w:rPr>
                <w:rFonts w:hint="eastAsia" w:ascii="宋体" w:hAnsi="宋体" w:cs="宋体"/>
                <w:color w:val="auto"/>
                <w:kern w:val="0"/>
                <w:sz w:val="36"/>
                <w:szCs w:val="36"/>
                <w:highlight w:val="none"/>
              </w:rPr>
              <w:t xml:space="preserve">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医疗服务能力提升中央补助（</w:t>
            </w:r>
            <w:r>
              <w:rPr>
                <w:rFonts w:hint="eastAsia" w:ascii="仿宋" w:hAnsi="仿宋" w:eastAsia="仿宋" w:cs="仿宋"/>
                <w:color w:val="auto"/>
                <w:szCs w:val="21"/>
                <w:highlight w:val="none"/>
                <w:lang w:eastAsia="zh-CN"/>
              </w:rPr>
              <w:t>卫生健康人才培养</w:t>
            </w:r>
            <w:r>
              <w:rPr>
                <w:rFonts w:hint="eastAsia" w:ascii="仿宋" w:hAnsi="仿宋" w:eastAsia="仿宋" w:cs="仿宋"/>
                <w:color w:val="auto"/>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7"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泸州市中医医院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7" w:hRule="atLeast"/>
          <w:jc w:val="center"/>
        </w:trPr>
        <w:tc>
          <w:tcPr>
            <w:tcW w:w="52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预算执行情况(万元)</w:t>
            </w:r>
          </w:p>
        </w:tc>
        <w:tc>
          <w:tcPr>
            <w:tcW w:w="226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465</w:t>
            </w:r>
            <w:r>
              <w:rPr>
                <w:rFonts w:hint="eastAsia" w:ascii="仿宋" w:hAnsi="仿宋" w:eastAsia="仿宋" w:cs="仿宋"/>
                <w:color w:val="auto"/>
                <w:szCs w:val="21"/>
                <w:highlight w:val="none"/>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465</w:t>
            </w:r>
            <w:r>
              <w:rPr>
                <w:rFonts w:hint="eastAsia" w:ascii="仿宋" w:hAnsi="仿宋" w:eastAsia="仿宋" w:cs="仿宋"/>
                <w:color w:val="auto"/>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6" w:hRule="atLeast"/>
          <w:jc w:val="center"/>
        </w:trPr>
        <w:tc>
          <w:tcPr>
            <w:tcW w:w="52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226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465</w:t>
            </w:r>
            <w:r>
              <w:rPr>
                <w:rFonts w:hint="eastAsia" w:ascii="仿宋" w:hAnsi="仿宋" w:eastAsia="仿宋" w:cs="仿宋"/>
                <w:color w:val="auto"/>
                <w:szCs w:val="21"/>
                <w:highlight w:val="none"/>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465</w:t>
            </w:r>
            <w:r>
              <w:rPr>
                <w:rFonts w:hint="eastAsia" w:ascii="仿宋" w:hAnsi="仿宋" w:eastAsia="仿宋" w:cs="仿宋"/>
                <w:color w:val="auto"/>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26" w:hRule="atLeast"/>
          <w:jc w:val="center"/>
        </w:trPr>
        <w:tc>
          <w:tcPr>
            <w:tcW w:w="52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226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7" w:hRule="atLeast"/>
          <w:jc w:val="center"/>
        </w:trPr>
        <w:tc>
          <w:tcPr>
            <w:tcW w:w="52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年度目标完成情况</w:t>
            </w:r>
          </w:p>
        </w:tc>
        <w:tc>
          <w:tcPr>
            <w:tcW w:w="465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9" w:hRule="atLeast"/>
          <w:jc w:val="center"/>
        </w:trPr>
        <w:tc>
          <w:tcPr>
            <w:tcW w:w="520" w:type="dxa"/>
            <w:vMerge w:val="continue"/>
            <w:tcBorders>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4654" w:type="dxa"/>
            <w:gridSpan w:val="3"/>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 xml:space="preserve">  做好住院医师规范化培训工作，加强住院医师规范化人员培训，为各级医疗机构输送中医药人才。</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 xml:space="preserve"> 为各级医疗机构输送中医药人才。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2" w:hRule="atLeast"/>
          <w:jc w:val="center"/>
        </w:trPr>
        <w:tc>
          <w:tcPr>
            <w:tcW w:w="520"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绩效指标完成情况</w:t>
            </w: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一级指标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二级指标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三级指标</w:t>
            </w:r>
          </w:p>
        </w:tc>
        <w:tc>
          <w:tcPr>
            <w:tcW w:w="2394"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实际完成指标值(包含数字及文字描述)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3"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zh-CN"/>
              </w:rPr>
              <w:t>数量指标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人员</w:t>
            </w:r>
            <w:r>
              <w:rPr>
                <w:rFonts w:hint="eastAsia" w:ascii="仿宋" w:hAnsi="仿宋" w:eastAsia="仿宋" w:cs="仿宋"/>
                <w:color w:val="auto"/>
                <w:szCs w:val="21"/>
                <w:highlight w:val="none"/>
              </w:rPr>
              <w:t>培训</w:t>
            </w:r>
          </w:p>
        </w:tc>
        <w:tc>
          <w:tcPr>
            <w:tcW w:w="2394"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173</w:t>
            </w:r>
            <w:r>
              <w:rPr>
                <w:rFonts w:hint="eastAsia" w:ascii="仿宋" w:hAnsi="仿宋" w:eastAsia="仿宋" w:cs="仿宋"/>
                <w:color w:val="auto"/>
                <w:szCs w:val="21"/>
                <w:highlight w:val="none"/>
              </w:rPr>
              <w:t>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168</w:t>
            </w:r>
            <w:r>
              <w:rPr>
                <w:rFonts w:hint="eastAsia" w:ascii="仿宋" w:hAnsi="仿宋" w:eastAsia="仿宋" w:cs="仿宋"/>
                <w:color w:val="auto"/>
                <w:szCs w:val="21"/>
                <w:highlight w:val="none"/>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7"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质量指标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人员素质影响率</w:t>
            </w:r>
          </w:p>
        </w:tc>
        <w:tc>
          <w:tcPr>
            <w:tcW w:w="2394"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37"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质量指标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住院医师规范化培训人员能力</w:t>
            </w:r>
          </w:p>
        </w:tc>
        <w:tc>
          <w:tcPr>
            <w:tcW w:w="2394"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提高医疗服务能力</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提高医疗服务能力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2"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成本指标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规培人员生活补助</w:t>
            </w:r>
          </w:p>
        </w:tc>
        <w:tc>
          <w:tcPr>
            <w:tcW w:w="2394"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按规定发放，每人每月2000元的生活补助。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按规定发放，每人每月2000元的生活补助。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2"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时效指标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规培人员培训时间</w:t>
            </w:r>
          </w:p>
        </w:tc>
        <w:tc>
          <w:tcPr>
            <w:tcW w:w="2394"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执行期</w:t>
            </w:r>
            <w:r>
              <w:rPr>
                <w:rFonts w:hint="eastAsia" w:ascii="仿宋" w:hAnsi="仿宋" w:eastAsia="仿宋" w:cs="仿宋"/>
                <w:color w:val="auto"/>
                <w:szCs w:val="21"/>
                <w:highlight w:val="none"/>
              </w:rPr>
              <w:t>2019.8.1-2020.7.31</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执行期</w:t>
            </w:r>
            <w:r>
              <w:rPr>
                <w:rFonts w:hint="eastAsia" w:ascii="仿宋" w:hAnsi="仿宋" w:eastAsia="仿宋" w:cs="仿宋"/>
                <w:color w:val="auto"/>
                <w:szCs w:val="21"/>
                <w:highlight w:val="none"/>
              </w:rPr>
              <w:t>2019.8.1-2020.7.31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1"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效益</w:t>
            </w:r>
            <w:r>
              <w:rPr>
                <w:rFonts w:hint="eastAsia" w:ascii="仿宋" w:hAnsi="仿宋" w:eastAsia="仿宋" w:cs="仿宋"/>
                <w:color w:val="auto"/>
                <w:szCs w:val="21"/>
                <w:highlight w:val="none"/>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社会效益指标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对社会的促进作用</w:t>
            </w:r>
          </w:p>
        </w:tc>
        <w:tc>
          <w:tcPr>
            <w:tcW w:w="2394"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保障住培学员待遇，提高住培学员培训的积极性，为各级医疗机构输送中医药人才。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保障住培学员待遇，提高住培学员培训的积极性，为各级医疗机构输送中医药人才。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1"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效益</w:t>
            </w:r>
            <w:r>
              <w:rPr>
                <w:rFonts w:hint="eastAsia" w:ascii="仿宋" w:hAnsi="仿宋" w:eastAsia="仿宋" w:cs="仿宋"/>
                <w:color w:val="auto"/>
                <w:szCs w:val="21"/>
                <w:highlight w:val="none"/>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可持续影响指标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可持续作用</w:t>
            </w:r>
          </w:p>
        </w:tc>
        <w:tc>
          <w:tcPr>
            <w:tcW w:w="2394"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人员素质明显提高，服务能力显著提升，将持续为医疗事业作贡献。</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人员素质明显提高，服务能力显著提升，将持续为医疗事业作贡献。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12"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群众</w:t>
            </w:r>
            <w:r>
              <w:rPr>
                <w:rFonts w:hint="eastAsia" w:ascii="仿宋" w:hAnsi="仿宋" w:eastAsia="仿宋" w:cs="仿宋"/>
                <w:color w:val="auto"/>
                <w:szCs w:val="21"/>
                <w:highlight w:val="none"/>
              </w:rPr>
              <w:t>满意度</w:t>
            </w:r>
          </w:p>
        </w:tc>
        <w:tc>
          <w:tcPr>
            <w:tcW w:w="2394" w:type="dxa"/>
            <w:tcBorders>
              <w:top w:val="single" w:color="000000"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w:t>
            </w:r>
            <w:r>
              <w:rPr>
                <w:rFonts w:hint="eastAsia" w:ascii="仿宋" w:hAnsi="仿宋" w:eastAsia="仿宋" w:cs="仿宋"/>
                <w:color w:val="auto"/>
                <w:szCs w:val="21"/>
                <w:highlight w:val="none"/>
                <w:lang w:val="en-US" w:eastAsia="zh-CN"/>
              </w:rPr>
              <w:t>0</w:t>
            </w:r>
            <w:r>
              <w:rPr>
                <w:rFonts w:hint="eastAsia" w:ascii="仿宋" w:hAnsi="仿宋" w:eastAsia="仿宋" w:cs="仿宋"/>
                <w:color w:val="auto"/>
                <w:szCs w:val="21"/>
                <w:highlight w:val="none"/>
              </w:rPr>
              <w:t>%</w:t>
            </w:r>
          </w:p>
        </w:tc>
        <w:tc>
          <w:tcPr>
            <w:tcW w:w="239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7"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10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社会满意度</w:t>
            </w:r>
          </w:p>
        </w:tc>
        <w:tc>
          <w:tcPr>
            <w:tcW w:w="239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≥80%</w:t>
            </w: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2" w:hRule="atLeast"/>
          <w:jc w:val="center"/>
        </w:trPr>
        <w:tc>
          <w:tcPr>
            <w:tcW w:w="52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10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使用单位满意度</w:t>
            </w:r>
          </w:p>
        </w:tc>
        <w:tc>
          <w:tcPr>
            <w:tcW w:w="239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≥9</w:t>
            </w:r>
            <w:r>
              <w:rPr>
                <w:rFonts w:hint="eastAsia" w:ascii="仿宋" w:hAnsi="仿宋" w:eastAsia="仿宋" w:cs="仿宋"/>
                <w:color w:val="auto"/>
                <w:szCs w:val="21"/>
                <w:highlight w:val="none"/>
                <w:lang w:val="en-US" w:eastAsia="zh-CN"/>
              </w:rPr>
              <w:t>0</w:t>
            </w:r>
            <w:r>
              <w:rPr>
                <w:rFonts w:hint="eastAsia" w:ascii="仿宋" w:hAnsi="仿宋" w:eastAsia="仿宋" w:cs="仿宋"/>
                <w:color w:val="auto"/>
                <w:szCs w:val="21"/>
                <w:highlight w:val="none"/>
              </w:rPr>
              <w:t>%</w:t>
            </w: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≥95%</w:t>
            </w:r>
          </w:p>
        </w:tc>
      </w:tr>
    </w:tbl>
    <w:p>
      <w:pPr>
        <w:spacing w:line="500" w:lineRule="exact"/>
        <w:ind w:firstLine="642"/>
        <w:rPr>
          <w:rFonts w:ascii="仿宋" w:hAnsi="仿宋" w:eastAsia="仿宋" w:cs="仿宋"/>
          <w:color w:val="auto"/>
          <w:sz w:val="28"/>
          <w:szCs w:val="28"/>
          <w:highlight w:val="none"/>
        </w:rPr>
      </w:pPr>
    </w:p>
    <w:tbl>
      <w:tblPr>
        <w:tblStyle w:val="16"/>
        <w:tblpPr w:leftFromText="180" w:rightFromText="180" w:vertAnchor="text" w:horzAnchor="page" w:tblpXSpec="center" w:tblpY="-1432"/>
        <w:tblOverlap w:val="never"/>
        <w:tblW w:w="996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0"/>
        <w:gridCol w:w="1237"/>
        <w:gridCol w:w="613"/>
        <w:gridCol w:w="412"/>
        <w:gridCol w:w="2392"/>
        <w:gridCol w:w="2394"/>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34" w:hRule="atLeast"/>
          <w:jc w:val="center"/>
        </w:trPr>
        <w:tc>
          <w:tcPr>
            <w:tcW w:w="9960" w:type="dxa"/>
            <w:gridSpan w:val="7"/>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b/>
                <w:bCs/>
                <w:color w:val="auto"/>
                <w:kern w:val="0"/>
                <w:sz w:val="36"/>
                <w:szCs w:val="36"/>
                <w:highlight w:val="none"/>
              </w:rPr>
            </w:pPr>
          </w:p>
          <w:p>
            <w:pPr>
              <w:widowControl/>
              <w:jc w:val="center"/>
              <w:textAlignment w:val="center"/>
              <w:rPr>
                <w:rFonts w:ascii="宋体" w:hAnsi="宋体" w:cs="宋体"/>
                <w:b/>
                <w:bCs/>
                <w:color w:val="auto"/>
                <w:kern w:val="0"/>
                <w:sz w:val="36"/>
                <w:szCs w:val="36"/>
                <w:highlight w:val="none"/>
              </w:rPr>
            </w:pPr>
          </w:p>
          <w:p>
            <w:pPr>
              <w:widowControl/>
              <w:jc w:val="center"/>
              <w:textAlignment w:val="center"/>
              <w:rPr>
                <w:rFonts w:ascii="宋体" w:hAnsi="宋体" w:cs="宋体"/>
                <w:color w:val="auto"/>
                <w:sz w:val="36"/>
                <w:szCs w:val="36"/>
                <w:highlight w:val="none"/>
              </w:rPr>
            </w:pPr>
            <w:r>
              <w:rPr>
                <w:rFonts w:hint="eastAsia" w:ascii="宋体" w:hAnsi="宋体" w:cs="宋体"/>
                <w:b/>
                <w:bCs/>
                <w:color w:val="auto"/>
                <w:kern w:val="0"/>
                <w:sz w:val="36"/>
                <w:szCs w:val="36"/>
                <w:highlight w:val="none"/>
              </w:rPr>
              <w:t>项目绩效目标完成情况表</w:t>
            </w:r>
            <w:r>
              <w:rPr>
                <w:rFonts w:hint="eastAsia" w:ascii="宋体" w:hAnsi="宋体" w:cs="宋体"/>
                <w:b/>
                <w:bCs/>
                <w:color w:val="auto"/>
                <w:kern w:val="0"/>
                <w:sz w:val="36"/>
                <w:szCs w:val="36"/>
                <w:highlight w:val="none"/>
              </w:rPr>
              <w:br w:type="textWrapping"/>
            </w:r>
            <w:r>
              <w:rPr>
                <w:rFonts w:hint="eastAsia" w:ascii="宋体" w:hAnsi="宋体" w:cs="宋体"/>
                <w:color w:val="auto"/>
                <w:kern w:val="0"/>
                <w:sz w:val="36"/>
                <w:szCs w:val="36"/>
                <w:highlight w:val="none"/>
              </w:rPr>
              <w:t>(</w:t>
            </w:r>
            <w:r>
              <w:rPr>
                <w:rFonts w:hint="eastAsia" w:ascii="宋体" w:hAnsi="宋体" w:cs="宋体"/>
                <w:color w:val="auto"/>
                <w:kern w:val="0"/>
                <w:sz w:val="36"/>
                <w:szCs w:val="36"/>
                <w:highlight w:val="none"/>
                <w:lang w:val="en-US" w:eastAsia="zh-CN"/>
              </w:rPr>
              <w:t>2020</w:t>
            </w:r>
            <w:r>
              <w:rPr>
                <w:rFonts w:hint="eastAsia" w:ascii="宋体" w:hAnsi="宋体" w:cs="宋体"/>
                <w:color w:val="auto"/>
                <w:kern w:val="0"/>
                <w:sz w:val="36"/>
                <w:szCs w:val="36"/>
                <w:highlight w:val="none"/>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6" w:hRule="atLeast"/>
          <w:jc w:val="center"/>
        </w:trPr>
        <w:tc>
          <w:tcPr>
            <w:tcW w:w="237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项目名称</w:t>
            </w:r>
          </w:p>
        </w:tc>
        <w:tc>
          <w:tcPr>
            <w:tcW w:w="7590"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省级财政中医药发展专项资金项目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7" w:hRule="atLeast"/>
          <w:jc w:val="center"/>
        </w:trPr>
        <w:tc>
          <w:tcPr>
            <w:tcW w:w="237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预算单位</w:t>
            </w:r>
          </w:p>
        </w:tc>
        <w:tc>
          <w:tcPr>
            <w:tcW w:w="7590"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泸州市中医医院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0" w:hRule="atLeast"/>
          <w:jc w:val="center"/>
        </w:trPr>
        <w:tc>
          <w:tcPr>
            <w:tcW w:w="52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预算执行情况(万元)</w:t>
            </w:r>
          </w:p>
        </w:tc>
        <w:tc>
          <w:tcPr>
            <w:tcW w:w="18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预算数:</w:t>
            </w:r>
          </w:p>
        </w:tc>
        <w:tc>
          <w:tcPr>
            <w:tcW w:w="280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7" w:hRule="atLeast"/>
          <w:jc w:val="center"/>
        </w:trPr>
        <w:tc>
          <w:tcPr>
            <w:tcW w:w="52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8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其中-财政拨款:</w:t>
            </w:r>
          </w:p>
        </w:tc>
        <w:tc>
          <w:tcPr>
            <w:tcW w:w="280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1" w:hRule="atLeast"/>
          <w:jc w:val="center"/>
        </w:trPr>
        <w:tc>
          <w:tcPr>
            <w:tcW w:w="52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8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其它资金:</w:t>
            </w:r>
          </w:p>
        </w:tc>
        <w:tc>
          <w:tcPr>
            <w:tcW w:w="280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3" w:hRule="atLeast"/>
          <w:jc w:val="center"/>
        </w:trPr>
        <w:tc>
          <w:tcPr>
            <w:tcW w:w="52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年度目标完成情况</w:t>
            </w:r>
          </w:p>
        </w:tc>
        <w:tc>
          <w:tcPr>
            <w:tcW w:w="465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9" w:hRule="atLeast"/>
          <w:jc w:val="center"/>
        </w:trPr>
        <w:tc>
          <w:tcPr>
            <w:tcW w:w="52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465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 xml:space="preserve"> </w:t>
            </w:r>
            <w:r>
              <w:rPr>
                <w:rFonts w:hint="eastAsia" w:ascii="仿宋" w:hAnsi="仿宋" w:eastAsia="仿宋" w:cs="仿宋"/>
                <w:color w:val="auto"/>
                <w:szCs w:val="21"/>
                <w:highlight w:val="none"/>
                <w:lang w:eastAsia="zh-CN"/>
              </w:rPr>
              <w:t>（1）将消肿活血散改进成凝胶膏剂，应用于闭合四肢软组织损伤，凝胶膏的研制和临床应用，克服原剂型缺点，提高生物利用度，增强疗效且便于携带；发表论文2篇。（2）对院内制剂五味黄连洗液开发研究，进一步验证其药效，规范工艺参数、建立质量标准，为今后开发成护理洗液和新药打下基础；发表论文3-4篇；提交发明专利申请1项。</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1）在实验研究方面，优选出红麻凝胶膏的制备工艺参数，建立了可控的质量标准，为红麻凝胶膏的开发提供了实验数据基础，发表学术论文4篇。（2）在实验研究方面优选出了五味黄连洗液的制备工艺参数，建立了可控的质量标准，验证了药效，为开发护理液提供了实验数据基础，发表学术论文4篇，提交发明专利申请1项。</w:t>
            </w:r>
            <w:r>
              <w:rPr>
                <w:rFonts w:hint="eastAsia" w:ascii="仿宋" w:hAnsi="仿宋" w:eastAsia="仿宋" w:cs="仿宋"/>
                <w:color w:val="auto"/>
                <w:szCs w:val="21"/>
                <w:highlight w:val="none"/>
              </w:rPr>
              <w:t>提升科研能力，为临床推广提供有力的临床依据；开发新产品，推动地方经济的发展。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4" w:hRule="atLeast"/>
          <w:jc w:val="center"/>
        </w:trPr>
        <w:tc>
          <w:tcPr>
            <w:tcW w:w="520"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绩效指标完成情况</w:t>
            </w: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一级指标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实际完成指标值(包含数字及文字描述)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3"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zh-CN"/>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发表学术论文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val="en-US" w:eastAsia="zh-CN"/>
              </w:rPr>
              <w:t>6篇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val="en-US" w:eastAsia="zh-CN"/>
              </w:rPr>
              <w:t>8篇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48"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完成工艺研究及质量标准研究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达到预期目标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达到预期目标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4"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红麻凝胶贴膏治疗闭合四肢软组织损伤的研究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val="en-US" w:eastAsia="zh-CN"/>
              </w:rPr>
              <w:t>2万元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val="en-US" w:eastAsia="zh-CN"/>
              </w:rPr>
              <w:t>2万元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8"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五味黄连洗液防治湿热下注型阴道炎的开发研究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1万元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1万元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8"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执行期</w:t>
            </w:r>
            <w:r>
              <w:rPr>
                <w:rFonts w:hint="eastAsia" w:ascii="仿宋" w:hAnsi="仿宋" w:eastAsia="仿宋" w:cs="仿宋"/>
                <w:color w:val="auto"/>
                <w:szCs w:val="21"/>
                <w:highlight w:val="none"/>
              </w:rPr>
              <w:t>2018.4-2020.4</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val="en-US" w:eastAsia="zh-CN"/>
              </w:rPr>
              <w:t>2020.4月按期结题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2"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中医药事业发展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提供一种新的防治方法和新的中药制剂，推动专科和中医药事业发展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提供一种新的防治方法和新的中药制剂，推动专科和中医药事业发展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7"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1025" w:type="dxa"/>
            <w:gridSpan w:val="2"/>
            <w:tcBorders>
              <w:top w:val="single" w:color="000000"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经济效益指标</w:t>
            </w:r>
          </w:p>
        </w:tc>
        <w:tc>
          <w:tcPr>
            <w:tcW w:w="239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研究成果的推广</w:t>
            </w:r>
          </w:p>
        </w:tc>
        <w:tc>
          <w:tcPr>
            <w:tcW w:w="239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我院在川南地区有较大的影响力，有利于研究成果的推广。</w:t>
            </w:r>
          </w:p>
        </w:tc>
        <w:tc>
          <w:tcPr>
            <w:tcW w:w="239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我院在川南地区有较大的影响力，有利于研究成果的推广。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6"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1025"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可持续影响指标</w:t>
            </w: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长期稳定发展</w:t>
            </w:r>
          </w:p>
        </w:tc>
        <w:tc>
          <w:tcPr>
            <w:tcW w:w="239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临床实践教学基地，有利于项目应用、研究。</w:t>
            </w: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临床实践教学基地，有利于项目应用、研究。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1" w:hRule="atLeast"/>
          <w:jc w:val="center"/>
        </w:trPr>
        <w:tc>
          <w:tcPr>
            <w:tcW w:w="52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1025"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eastAsia="zh-CN"/>
              </w:rPr>
              <w:t>社会</w:t>
            </w:r>
            <w:r>
              <w:rPr>
                <w:rFonts w:hint="eastAsia" w:ascii="仿宋" w:hAnsi="仿宋" w:eastAsia="仿宋" w:cs="仿宋"/>
                <w:color w:val="auto"/>
                <w:szCs w:val="21"/>
                <w:highlight w:val="none"/>
              </w:rPr>
              <w:t>满意度</w:t>
            </w:r>
          </w:p>
        </w:tc>
        <w:tc>
          <w:tcPr>
            <w:tcW w:w="239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80</w:t>
            </w:r>
            <w:r>
              <w:rPr>
                <w:rFonts w:hint="eastAsia" w:ascii="仿宋" w:hAnsi="仿宋" w:eastAsia="仿宋" w:cs="仿宋"/>
                <w:color w:val="auto"/>
                <w:szCs w:val="21"/>
                <w:highlight w:val="none"/>
              </w:rPr>
              <w:t>%</w:t>
            </w: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80</w:t>
            </w:r>
            <w:r>
              <w:rPr>
                <w:rFonts w:hint="eastAsia" w:ascii="仿宋" w:hAnsi="仿宋" w:eastAsia="仿宋" w:cs="仿宋"/>
                <w:color w:val="auto"/>
                <w:szCs w:val="21"/>
                <w:highlight w:val="none"/>
              </w:rPr>
              <w:t>%</w:t>
            </w:r>
          </w:p>
        </w:tc>
      </w:tr>
    </w:tbl>
    <w:tbl>
      <w:tblPr>
        <w:tblStyle w:val="16"/>
        <w:tblpPr w:leftFromText="180" w:rightFromText="180" w:vertAnchor="text" w:horzAnchor="page" w:tblpXSpec="center" w:tblpY="-956"/>
        <w:tblOverlap w:val="never"/>
        <w:tblW w:w="996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0"/>
        <w:gridCol w:w="1237"/>
        <w:gridCol w:w="613"/>
        <w:gridCol w:w="412"/>
        <w:gridCol w:w="2392"/>
        <w:gridCol w:w="2394"/>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34" w:hRule="atLeast"/>
          <w:jc w:val="center"/>
        </w:trPr>
        <w:tc>
          <w:tcPr>
            <w:tcW w:w="9960" w:type="dxa"/>
            <w:gridSpan w:val="7"/>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b/>
                <w:bCs/>
                <w:color w:val="auto"/>
                <w:kern w:val="0"/>
                <w:sz w:val="36"/>
                <w:szCs w:val="36"/>
                <w:highlight w:val="none"/>
              </w:rPr>
            </w:pPr>
          </w:p>
          <w:p>
            <w:pPr>
              <w:widowControl/>
              <w:jc w:val="center"/>
              <w:textAlignment w:val="center"/>
              <w:rPr>
                <w:rFonts w:ascii="宋体" w:hAnsi="宋体" w:cs="宋体"/>
                <w:b/>
                <w:bCs/>
                <w:color w:val="auto"/>
                <w:kern w:val="0"/>
                <w:sz w:val="36"/>
                <w:szCs w:val="36"/>
                <w:highlight w:val="none"/>
              </w:rPr>
            </w:pPr>
          </w:p>
          <w:p>
            <w:pPr>
              <w:widowControl/>
              <w:jc w:val="center"/>
              <w:textAlignment w:val="center"/>
              <w:rPr>
                <w:rFonts w:ascii="宋体" w:hAnsi="宋体" w:cs="宋体"/>
                <w:color w:val="auto"/>
                <w:sz w:val="36"/>
                <w:szCs w:val="36"/>
                <w:highlight w:val="none"/>
              </w:rPr>
            </w:pPr>
            <w:r>
              <w:rPr>
                <w:rFonts w:hint="eastAsia" w:ascii="宋体" w:hAnsi="宋体" w:cs="宋体"/>
                <w:b/>
                <w:bCs/>
                <w:color w:val="auto"/>
                <w:kern w:val="0"/>
                <w:sz w:val="36"/>
                <w:szCs w:val="36"/>
                <w:highlight w:val="none"/>
              </w:rPr>
              <w:t>项目绩效目标完成情况表</w:t>
            </w:r>
            <w:r>
              <w:rPr>
                <w:rFonts w:hint="eastAsia" w:ascii="宋体" w:hAnsi="宋体" w:cs="宋体"/>
                <w:b/>
                <w:bCs/>
                <w:color w:val="auto"/>
                <w:kern w:val="0"/>
                <w:sz w:val="36"/>
                <w:szCs w:val="36"/>
                <w:highlight w:val="none"/>
              </w:rPr>
              <w:br w:type="textWrapping"/>
            </w:r>
            <w:r>
              <w:rPr>
                <w:rFonts w:hint="eastAsia" w:ascii="宋体" w:hAnsi="宋体" w:cs="宋体"/>
                <w:color w:val="auto"/>
                <w:kern w:val="0"/>
                <w:sz w:val="36"/>
                <w:szCs w:val="36"/>
                <w:highlight w:val="none"/>
              </w:rPr>
              <w:t>(</w:t>
            </w:r>
            <w:r>
              <w:rPr>
                <w:rFonts w:hint="eastAsia" w:ascii="宋体" w:hAnsi="宋体" w:cs="宋体"/>
                <w:color w:val="auto"/>
                <w:kern w:val="0"/>
                <w:sz w:val="36"/>
                <w:szCs w:val="36"/>
                <w:highlight w:val="none"/>
                <w:lang w:val="en-US" w:eastAsia="zh-CN"/>
              </w:rPr>
              <w:t>2020</w:t>
            </w:r>
            <w:r>
              <w:rPr>
                <w:rFonts w:hint="eastAsia" w:ascii="宋体" w:hAnsi="宋体" w:cs="宋体"/>
                <w:color w:val="auto"/>
                <w:kern w:val="0"/>
                <w:sz w:val="36"/>
                <w:szCs w:val="36"/>
                <w:highlight w:val="none"/>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6" w:hRule="atLeast"/>
          <w:jc w:val="center"/>
        </w:trPr>
        <w:tc>
          <w:tcPr>
            <w:tcW w:w="237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项目名称</w:t>
            </w:r>
          </w:p>
        </w:tc>
        <w:tc>
          <w:tcPr>
            <w:tcW w:w="7590"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驻村人员补助经费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jc w:val="center"/>
        </w:trPr>
        <w:tc>
          <w:tcPr>
            <w:tcW w:w="237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预算单位</w:t>
            </w:r>
          </w:p>
        </w:tc>
        <w:tc>
          <w:tcPr>
            <w:tcW w:w="7590"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泸州市中医医院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jc w:val="center"/>
        </w:trPr>
        <w:tc>
          <w:tcPr>
            <w:tcW w:w="52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预算执行情况(万元)</w:t>
            </w:r>
          </w:p>
        </w:tc>
        <w:tc>
          <w:tcPr>
            <w:tcW w:w="18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预算数:</w:t>
            </w:r>
          </w:p>
        </w:tc>
        <w:tc>
          <w:tcPr>
            <w:tcW w:w="280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6</w:t>
            </w:r>
            <w:r>
              <w:rPr>
                <w:rFonts w:hint="eastAsia" w:ascii="仿宋" w:hAnsi="仿宋" w:eastAsia="仿宋" w:cs="仿宋"/>
                <w:color w:val="auto"/>
                <w:szCs w:val="21"/>
                <w:highlight w:val="none"/>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6</w:t>
            </w:r>
            <w:r>
              <w:rPr>
                <w:rFonts w:hint="eastAsia" w:ascii="仿宋" w:hAnsi="仿宋" w:eastAsia="仿宋" w:cs="仿宋"/>
                <w:color w:val="auto"/>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7" w:hRule="atLeast"/>
          <w:jc w:val="center"/>
        </w:trPr>
        <w:tc>
          <w:tcPr>
            <w:tcW w:w="52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8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其中-财政拨款:</w:t>
            </w:r>
          </w:p>
        </w:tc>
        <w:tc>
          <w:tcPr>
            <w:tcW w:w="280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6</w:t>
            </w:r>
            <w:r>
              <w:rPr>
                <w:rFonts w:hint="eastAsia" w:ascii="仿宋" w:hAnsi="仿宋" w:eastAsia="仿宋" w:cs="仿宋"/>
                <w:color w:val="auto"/>
                <w:szCs w:val="21"/>
                <w:highlight w:val="none"/>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6</w:t>
            </w:r>
            <w:r>
              <w:rPr>
                <w:rFonts w:hint="eastAsia" w:ascii="仿宋" w:hAnsi="仿宋" w:eastAsia="仿宋" w:cs="仿宋"/>
                <w:color w:val="auto"/>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36" w:hRule="atLeast"/>
          <w:jc w:val="center"/>
        </w:trPr>
        <w:tc>
          <w:tcPr>
            <w:tcW w:w="52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8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其它资金:</w:t>
            </w:r>
          </w:p>
        </w:tc>
        <w:tc>
          <w:tcPr>
            <w:tcW w:w="280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8" w:hRule="atLeast"/>
          <w:jc w:val="center"/>
        </w:trPr>
        <w:tc>
          <w:tcPr>
            <w:tcW w:w="52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年度目标完成情况</w:t>
            </w:r>
          </w:p>
        </w:tc>
        <w:tc>
          <w:tcPr>
            <w:tcW w:w="465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4" w:hRule="atLeast"/>
          <w:jc w:val="center"/>
        </w:trPr>
        <w:tc>
          <w:tcPr>
            <w:tcW w:w="52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465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 xml:space="preserve"> </w:t>
            </w:r>
            <w:r>
              <w:rPr>
                <w:rFonts w:hint="eastAsia" w:ascii="仿宋" w:hAnsi="仿宋" w:eastAsia="仿宋" w:cs="仿宋"/>
                <w:color w:val="auto"/>
                <w:szCs w:val="21"/>
                <w:highlight w:val="none"/>
                <w:lang w:val="zh-CN"/>
              </w:rPr>
              <w:t>下派驻村干部到观兴镇骑龙村，开展脱贫攻坚工作，帮助贫困户摆脱贫困，提高村集体经济，全面走向小康。</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zh-CN"/>
              </w:rPr>
              <w:t>已下派2名驻村干部到观兴镇骑龙村，开展脱贫攻坚工作，帮助贫困户摆脱贫困，为人民群众办实事，提高村集体经济，全面走向小康。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2" w:hRule="atLeast"/>
          <w:jc w:val="center"/>
        </w:trPr>
        <w:tc>
          <w:tcPr>
            <w:tcW w:w="520"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绩效指标完成情况</w:t>
            </w: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一级指标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实际完成指标值(包含数字及文字描述)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3"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zh-CN"/>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驻村干部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7"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制定脱贫方案</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制定贫困村和贫困户脱贫工作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制定贫困村和贫困户脱贫工作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2"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驻村干部工作补助</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3万元/年/人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3万元/年/人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2"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项目完成指标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val="en-US" w:eastAsia="zh-CN"/>
              </w:rPr>
              <w:t>2020年12月31日前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2020年12月31日前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03"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102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贫困户实现脱贫</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开展驻村工作，指定一户一八策脱贫方案，帮助贫困户有摆脱贫困，奔向小康。</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开展驻村工作，指定一户一八策脱贫方案，帮助贫困户有摆脱贫困，奔向小康。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7"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效益指标</w:t>
            </w:r>
          </w:p>
        </w:tc>
        <w:tc>
          <w:tcPr>
            <w:tcW w:w="1025" w:type="dxa"/>
            <w:gridSpan w:val="2"/>
            <w:tcBorders>
              <w:top w:val="single" w:color="000000"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可持续影响指标</w:t>
            </w:r>
          </w:p>
        </w:tc>
        <w:tc>
          <w:tcPr>
            <w:tcW w:w="239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长期稳定发展</w:t>
            </w:r>
          </w:p>
        </w:tc>
        <w:tc>
          <w:tcPr>
            <w:tcW w:w="239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村集体经济增长，贫困户个人生活改善，共同奔小康。</w:t>
            </w:r>
          </w:p>
        </w:tc>
        <w:tc>
          <w:tcPr>
            <w:tcW w:w="239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村集体经济增长，贫困户个人生活改善，共同奔小康。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7" w:hRule="atLeast"/>
          <w:jc w:val="center"/>
        </w:trPr>
        <w:tc>
          <w:tcPr>
            <w:tcW w:w="520"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1025" w:type="dxa"/>
            <w:gridSpan w:val="2"/>
            <w:tcBorders>
              <w:top w:val="single" w:color="000000"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39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村满意度</w:t>
            </w:r>
          </w:p>
        </w:tc>
        <w:tc>
          <w:tcPr>
            <w:tcW w:w="239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w:t>
            </w:r>
            <w:r>
              <w:rPr>
                <w:rFonts w:hint="eastAsia" w:ascii="仿宋" w:hAnsi="仿宋" w:eastAsia="仿宋" w:cs="仿宋"/>
                <w:color w:val="auto"/>
                <w:szCs w:val="21"/>
                <w:highlight w:val="none"/>
                <w:lang w:val="en-US" w:eastAsia="zh-CN"/>
              </w:rPr>
              <w:t>0</w:t>
            </w:r>
            <w:r>
              <w:rPr>
                <w:rFonts w:hint="eastAsia" w:ascii="仿宋" w:hAnsi="仿宋" w:eastAsia="仿宋" w:cs="仿宋"/>
                <w:color w:val="auto"/>
                <w:szCs w:val="21"/>
                <w:highlight w:val="none"/>
              </w:rPr>
              <w:t>%</w:t>
            </w:r>
          </w:p>
        </w:tc>
        <w:tc>
          <w:tcPr>
            <w:tcW w:w="239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85</w:t>
            </w:r>
            <w:r>
              <w:rPr>
                <w:rFonts w:hint="eastAsia" w:ascii="仿宋" w:hAnsi="仿宋" w:eastAsia="仿宋" w:cs="仿宋"/>
                <w:color w:val="auto"/>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17" w:hRule="atLeast"/>
          <w:jc w:val="center"/>
        </w:trPr>
        <w:tc>
          <w:tcPr>
            <w:tcW w:w="52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1025"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满意度指标</w:t>
            </w: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社会满意度</w:t>
            </w:r>
          </w:p>
        </w:tc>
        <w:tc>
          <w:tcPr>
            <w:tcW w:w="239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≥80%</w:t>
            </w: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≥8</w:t>
            </w:r>
            <w:r>
              <w:rPr>
                <w:rFonts w:hint="eastAsia" w:ascii="仿宋" w:hAnsi="仿宋" w:eastAsia="仿宋" w:cs="仿宋"/>
                <w:color w:val="auto"/>
                <w:szCs w:val="21"/>
                <w:highlight w:val="none"/>
                <w:lang w:val="en-US" w:eastAsia="zh-CN"/>
              </w:rPr>
              <w:t>0</w:t>
            </w:r>
            <w:r>
              <w:rPr>
                <w:rFonts w:hint="eastAsia" w:ascii="仿宋" w:hAnsi="仿宋" w:eastAsia="仿宋" w:cs="仿宋"/>
                <w:color w:val="auto"/>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7" w:hRule="atLeast"/>
          <w:jc w:val="center"/>
        </w:trPr>
        <w:tc>
          <w:tcPr>
            <w:tcW w:w="5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
                <w:color w:val="auto"/>
                <w:szCs w:val="21"/>
                <w:highlight w:val="none"/>
              </w:rPr>
            </w:pPr>
          </w:p>
        </w:tc>
        <w:tc>
          <w:tcPr>
            <w:tcW w:w="12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p>
        </w:tc>
        <w:tc>
          <w:tcPr>
            <w:tcW w:w="1025"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p>
        </w:tc>
        <w:tc>
          <w:tcPr>
            <w:tcW w:w="239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p>
        </w:tc>
        <w:tc>
          <w:tcPr>
            <w:tcW w:w="23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auto"/>
                <w:szCs w:val="21"/>
                <w:highlight w:val="none"/>
              </w:rPr>
            </w:pPr>
          </w:p>
        </w:tc>
      </w:tr>
    </w:tbl>
    <w:p>
      <w:pPr>
        <w:widowControl/>
        <w:jc w:val="left"/>
        <w:rPr>
          <w:rFonts w:ascii="仿宋_GB2312" w:eastAsia="仿宋_GB2312"/>
          <w:b/>
          <w:color w:val="auto"/>
          <w:sz w:val="32"/>
          <w:szCs w:val="32"/>
          <w:highlight w:val="none"/>
          <w:shd w:val="pct10" w:color="auto" w:fill="FFFFFF"/>
        </w:rPr>
      </w:pPr>
    </w:p>
    <w:p>
      <w:pPr>
        <w:spacing w:line="580" w:lineRule="exact"/>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rPr>
        <w:t>2.部门绩效评价结果。</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本单位按要求对</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年部门整体支出绩效评价情况开展自评，《泸州市中医医院</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年部门整体支出绩效评价报告》见附件（附件1）。</w:t>
      </w:r>
    </w:p>
    <w:p>
      <w:pPr>
        <w:spacing w:line="500" w:lineRule="exact"/>
        <w:ind w:firstLine="64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本单位自行组织对“</w:t>
      </w:r>
      <w:r>
        <w:rPr>
          <w:rFonts w:hint="eastAsia" w:ascii="仿宋" w:hAnsi="仿宋" w:eastAsia="仿宋" w:cs="仿宋"/>
          <w:color w:val="auto"/>
          <w:sz w:val="28"/>
          <w:szCs w:val="28"/>
          <w:highlight w:val="none"/>
          <w:lang w:val="en-US" w:eastAsia="zh-CN"/>
        </w:rPr>
        <w:t>2020年定向补助</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“新院建设设备购置补助经费”“</w:t>
      </w:r>
      <w:r>
        <w:rPr>
          <w:rFonts w:hint="eastAsia" w:ascii="仿宋" w:hAnsi="仿宋" w:eastAsia="仿宋" w:cs="仿宋"/>
          <w:color w:val="auto"/>
          <w:sz w:val="28"/>
          <w:szCs w:val="28"/>
          <w:highlight w:val="none"/>
        </w:rPr>
        <w:t>医疗服务能力提升中央补助（</w:t>
      </w:r>
      <w:r>
        <w:rPr>
          <w:rFonts w:hint="eastAsia" w:ascii="仿宋" w:hAnsi="仿宋" w:eastAsia="仿宋" w:cs="仿宋"/>
          <w:color w:val="auto"/>
          <w:sz w:val="28"/>
          <w:szCs w:val="28"/>
          <w:highlight w:val="none"/>
          <w:lang w:eastAsia="zh-CN"/>
        </w:rPr>
        <w:t>卫生健康人才培养</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”项目开展了绩效评从，</w:t>
      </w:r>
      <w:r>
        <w:rPr>
          <w:rFonts w:hint="eastAsia" w:ascii="仿宋" w:hAnsi="仿宋" w:eastAsia="仿宋" w:cs="仿宋"/>
          <w:color w:val="auto"/>
          <w:sz w:val="28"/>
          <w:szCs w:val="28"/>
          <w:highlight w:val="none"/>
        </w:rPr>
        <w:t>见《</w:t>
      </w:r>
      <w:r>
        <w:rPr>
          <w:rFonts w:hint="eastAsia" w:ascii="仿宋" w:hAnsi="仿宋" w:eastAsia="仿宋" w:cs="仿宋"/>
          <w:color w:val="auto"/>
          <w:sz w:val="28"/>
          <w:szCs w:val="28"/>
          <w:highlight w:val="none"/>
          <w:lang w:val="en-US" w:eastAsia="zh-CN"/>
        </w:rPr>
        <w:t>2020年定向补助</w:t>
      </w:r>
      <w:r>
        <w:rPr>
          <w:rFonts w:hint="eastAsia" w:ascii="仿宋" w:hAnsi="仿宋" w:eastAsia="仿宋" w:cs="仿宋"/>
          <w:color w:val="auto"/>
          <w:sz w:val="28"/>
          <w:szCs w:val="28"/>
          <w:highlight w:val="none"/>
        </w:rPr>
        <w:t>项目</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年绩效评价报告》</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新院建设设备购置补助经费</w:t>
      </w:r>
      <w:r>
        <w:rPr>
          <w:rFonts w:hint="eastAsia" w:ascii="仿宋" w:hAnsi="仿宋" w:eastAsia="仿宋" w:cs="仿宋"/>
          <w:color w:val="auto"/>
          <w:sz w:val="28"/>
          <w:szCs w:val="28"/>
          <w:highlight w:val="none"/>
        </w:rPr>
        <w:t>项目</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年绩效评价报告》</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《医疗服务能力提升中央补助（</w:t>
      </w:r>
      <w:r>
        <w:rPr>
          <w:rFonts w:hint="eastAsia" w:ascii="仿宋" w:hAnsi="仿宋" w:eastAsia="仿宋" w:cs="仿宋"/>
          <w:color w:val="auto"/>
          <w:sz w:val="28"/>
          <w:szCs w:val="28"/>
          <w:highlight w:val="none"/>
          <w:lang w:eastAsia="zh-CN"/>
        </w:rPr>
        <w:t>卫生健康人才培养</w:t>
      </w:r>
      <w:r>
        <w:rPr>
          <w:rFonts w:hint="eastAsia" w:ascii="仿宋" w:hAnsi="仿宋" w:eastAsia="仿宋" w:cs="仿宋"/>
          <w:color w:val="auto"/>
          <w:sz w:val="28"/>
          <w:szCs w:val="28"/>
          <w:highlight w:val="none"/>
        </w:rPr>
        <w:t>）项目</w:t>
      </w: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年绩效评价报告》附件（附件2）。</w:t>
      </w: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spacing w:line="500" w:lineRule="exact"/>
        <w:ind w:firstLine="642"/>
        <w:rPr>
          <w:rFonts w:hint="eastAsia" w:ascii="仿宋" w:hAnsi="仿宋" w:eastAsia="仿宋" w:cs="仿宋"/>
          <w:color w:val="auto"/>
          <w:sz w:val="28"/>
          <w:szCs w:val="28"/>
          <w:highlight w:val="none"/>
        </w:rPr>
      </w:pPr>
    </w:p>
    <w:p>
      <w:pPr>
        <w:widowControl/>
        <w:jc w:val="left"/>
        <w:rPr>
          <w:rFonts w:ascii="仿宋_GB2312" w:eastAsia="仿宋_GB2312"/>
          <w:b/>
          <w:color w:val="auto"/>
          <w:sz w:val="32"/>
          <w:szCs w:val="32"/>
          <w:highlight w:val="none"/>
          <w:shd w:val="pct10" w:color="auto" w:fill="FFFFFF"/>
        </w:rPr>
      </w:pPr>
    </w:p>
    <w:p>
      <w:pPr>
        <w:numPr>
          <w:ilvl w:val="0"/>
          <w:numId w:val="5"/>
        </w:numPr>
        <w:spacing w:line="600" w:lineRule="exact"/>
        <w:ind w:firstLine="660" w:firstLineChars="150"/>
        <w:jc w:val="center"/>
        <w:outlineLvl w:val="0"/>
        <w:rPr>
          <w:rStyle w:val="27"/>
          <w:rFonts w:ascii="黑体" w:hAnsi="黑体" w:eastAsia="黑体"/>
          <w:b w:val="0"/>
          <w:color w:val="auto"/>
          <w:highlight w:val="none"/>
        </w:rPr>
      </w:pPr>
      <w:bookmarkStart w:id="52" w:name="_Toc15396613"/>
      <w:bookmarkStart w:id="53" w:name="_Toc15377225"/>
      <w:r>
        <w:rPr>
          <w:rFonts w:hint="eastAsia" w:ascii="黑体" w:hAnsi="黑体" w:eastAsia="黑体"/>
          <w:color w:val="auto"/>
          <w:sz w:val="44"/>
          <w:szCs w:val="44"/>
          <w:highlight w:val="none"/>
        </w:rPr>
        <w:t>名</w:t>
      </w:r>
      <w:r>
        <w:rPr>
          <w:rStyle w:val="27"/>
          <w:rFonts w:hint="eastAsia" w:ascii="黑体" w:hAnsi="黑体" w:eastAsia="黑体"/>
          <w:b w:val="0"/>
          <w:color w:val="auto"/>
          <w:highlight w:val="none"/>
        </w:rPr>
        <w:t>词解释</w:t>
      </w:r>
      <w:bookmarkEnd w:id="52"/>
      <w:bookmarkEnd w:id="53"/>
    </w:p>
    <w:p>
      <w:pPr>
        <w:spacing w:line="600" w:lineRule="exact"/>
        <w:jc w:val="left"/>
        <w:rPr>
          <w:rFonts w:ascii="宋体"/>
          <w:b/>
          <w:color w:val="auto"/>
          <w:sz w:val="44"/>
          <w:szCs w:val="44"/>
          <w:highlight w:val="none"/>
        </w:rPr>
      </w:pP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1.财政拨款收入：指单位从同级财政部门取得的财政预算资金。</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2.事业收入：指事业单位开展专业业务活动及辅助活动取得的收入。</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3.其他收入：指单位取得的除上述收入以外的各项收入。主要是进修费、病历复印费、管理费等。</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5.年初结转和结余：指以前年度尚未完成、结转到本年按有关规定继续使用的资金。</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6.结余分配：指事业单位按照事业单位会计制度的规定从非财政补助结余中分配的事业基金和职工福利基金等。</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7.年末结转和结余：指单位按有关规定结转到下年或以后年度继续使用的资金。</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8.科学技术（类）应用研究（款）其他应用研究支出（项）：指除上述项目以外（机构运行、社会公益研究、高技术研究和专项科研试制）其他用于应用研究方面的支出。科学技术（类）技术研究与开发（款）其他技术研究与开发支出（项）：指除上述项目以外（机构运行、应用技术研究与开发、产业技术研究与开发和科技成果转化与扩散）其他用于技术研究与开发方面的支出。</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9.社会保障和就业（类）行政事业单位离退休（款）事业单位离退休（项）：指实行归口管理的事业单位开支的离退休经费。</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10.医疗卫生与计划生育（类）公立医院（款）中医（民族）医院（项）：指卫生健康、中医部门所属的中医院、中西医结合医院、民族医院的支出。</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医疗卫生与计划生育（类）公立医院（款）其他公立医院支出（项）：指除上述项目以外（综合医院、中医（民族）医院、传染病医院、职业病防治医院、精神病医院、妇产医院、儿童医院、其他专科医院、福利医院、行业医院和处理医疗欠费）的其他用于公立医院方面的支出。</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医疗卫生与计划生育（类）中医药（款）中医（民族医）药专项：指中医（民族医）药方面的专项支出。医疗卫生与计划生育（类）中医药（款）其他中医药支出（项）：指除中医（民族医）药专项支出以外的其他中医药支出。</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医疗卫生与计划生育（类）计划生育事务（款）其他计划生育事务支出（项）：指除上述项目以外（计划生育机构和计划生育服务）其他用于计划生育管理事务方面的支出。</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11.基本支出：指为保障机构正常运转、完成日常工作任务而发生的人员支出和公用支出。</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12.项目支出：指在基本支出之外为完成特定行政任务和事业发展目标所发生的支出。</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13.“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jc w:val="center"/>
        <w:outlineLvl w:val="0"/>
        <w:rPr>
          <w:rFonts w:ascii="仿宋" w:hAnsi="仿宋" w:eastAsia="仿宋"/>
          <w:color w:val="auto"/>
          <w:sz w:val="28"/>
          <w:szCs w:val="28"/>
          <w:highlight w:val="none"/>
        </w:rPr>
      </w:pPr>
      <w:bookmarkStart w:id="54" w:name="_Toc15396614"/>
      <w:bookmarkStart w:id="55" w:name="_Toc15377226"/>
    </w:p>
    <w:p>
      <w:pPr>
        <w:spacing w:line="600" w:lineRule="exact"/>
        <w:outlineLvl w:val="0"/>
        <w:rPr>
          <w:rFonts w:ascii="黑体" w:hAnsi="黑体" w:eastAsia="黑体"/>
          <w:color w:val="auto"/>
          <w:sz w:val="44"/>
          <w:szCs w:val="44"/>
          <w:highlight w:val="none"/>
        </w:rPr>
      </w:pPr>
    </w:p>
    <w:p>
      <w:pPr>
        <w:spacing w:line="600" w:lineRule="exact"/>
        <w:jc w:val="center"/>
        <w:outlineLvl w:val="0"/>
        <w:rPr>
          <w:rStyle w:val="27"/>
          <w:rFonts w:ascii="黑体" w:hAnsi="黑体" w:eastAsia="黑体"/>
          <w:b w:val="0"/>
          <w:color w:val="auto"/>
          <w:highlight w:val="none"/>
        </w:rPr>
      </w:pPr>
      <w:r>
        <w:rPr>
          <w:rFonts w:hint="eastAsia" w:ascii="黑体" w:hAnsi="黑体" w:eastAsia="黑体"/>
          <w:color w:val="auto"/>
          <w:sz w:val="44"/>
          <w:szCs w:val="44"/>
          <w:highlight w:val="none"/>
        </w:rPr>
        <w:t>第</w:t>
      </w:r>
      <w:r>
        <w:rPr>
          <w:rStyle w:val="27"/>
          <w:rFonts w:hint="eastAsia" w:ascii="黑体" w:hAnsi="黑体" w:eastAsia="黑体"/>
          <w:b w:val="0"/>
          <w:color w:val="auto"/>
          <w:highlight w:val="none"/>
        </w:rPr>
        <w:t>四部分 附件</w:t>
      </w:r>
      <w:bookmarkEnd w:id="54"/>
    </w:p>
    <w:p>
      <w:pPr>
        <w:spacing w:line="600" w:lineRule="exact"/>
        <w:jc w:val="left"/>
        <w:outlineLvl w:val="0"/>
        <w:rPr>
          <w:rFonts w:ascii="方正小标宋简体" w:hAnsi="方正小标宋简体" w:eastAsia="方正小标宋简体" w:cs="方正小标宋简体"/>
          <w:color w:val="auto"/>
          <w:sz w:val="32"/>
          <w:szCs w:val="32"/>
          <w:highlight w:val="none"/>
        </w:rPr>
      </w:pPr>
      <w:r>
        <w:rPr>
          <w:rFonts w:hint="eastAsia" w:ascii="黑体" w:hAnsi="黑体" w:eastAsia="黑体" w:cs="黑体"/>
          <w:color w:val="auto"/>
          <w:sz w:val="32"/>
          <w:szCs w:val="32"/>
          <w:highlight w:val="none"/>
        </w:rPr>
        <w:t>附件1</w:t>
      </w:r>
    </w:p>
    <w:p>
      <w:pPr>
        <w:spacing w:line="600" w:lineRule="exact"/>
        <w:jc w:val="center"/>
        <w:rPr>
          <w:rFonts w:ascii="方正小标宋简体" w:hAnsi="宋体" w:eastAsia="方正小标宋简体"/>
          <w:color w:val="auto"/>
          <w:kern w:val="0"/>
          <w:sz w:val="40"/>
          <w:szCs w:val="44"/>
          <w:highlight w:val="none"/>
          <w:lang w:val="zh-CN"/>
        </w:rPr>
      </w:pPr>
      <w:r>
        <w:rPr>
          <w:rFonts w:hint="eastAsia" w:ascii="方正小标宋简体" w:hAnsi="宋体" w:eastAsia="方正小标宋简体"/>
          <w:color w:val="auto"/>
          <w:kern w:val="0"/>
          <w:sz w:val="40"/>
          <w:szCs w:val="44"/>
          <w:highlight w:val="none"/>
        </w:rPr>
        <w:t>泸州市中医医院</w:t>
      </w:r>
      <w:r>
        <w:rPr>
          <w:rFonts w:hint="eastAsia" w:ascii="方正小标宋简体" w:hAnsi="宋体" w:eastAsia="方正小标宋简体"/>
          <w:color w:val="auto"/>
          <w:kern w:val="0"/>
          <w:sz w:val="40"/>
          <w:szCs w:val="44"/>
          <w:highlight w:val="none"/>
          <w:lang w:val="en-US" w:eastAsia="zh-CN"/>
        </w:rPr>
        <w:t>2020</w:t>
      </w:r>
      <w:r>
        <w:rPr>
          <w:rFonts w:ascii="方正小标宋简体" w:hAnsi="宋体" w:eastAsia="方正小标宋简体"/>
          <w:color w:val="auto"/>
          <w:kern w:val="0"/>
          <w:sz w:val="40"/>
          <w:szCs w:val="44"/>
          <w:highlight w:val="none"/>
        </w:rPr>
        <w:t>年部门</w:t>
      </w:r>
      <w:r>
        <w:rPr>
          <w:rFonts w:hint="eastAsia" w:ascii="方正小标宋简体" w:hAnsi="宋体" w:eastAsia="方正小标宋简体"/>
          <w:color w:val="auto"/>
          <w:kern w:val="0"/>
          <w:sz w:val="40"/>
          <w:szCs w:val="44"/>
          <w:highlight w:val="none"/>
          <w:lang w:val="zh-CN"/>
        </w:rPr>
        <w:t>整体支出</w:t>
      </w:r>
    </w:p>
    <w:p>
      <w:pPr>
        <w:spacing w:line="600" w:lineRule="exact"/>
        <w:jc w:val="center"/>
        <w:rPr>
          <w:rFonts w:ascii="方正小标宋简体" w:hAnsi="宋体" w:eastAsia="方正小标宋简体"/>
          <w:color w:val="auto"/>
          <w:kern w:val="0"/>
          <w:sz w:val="40"/>
          <w:szCs w:val="44"/>
          <w:highlight w:val="none"/>
          <w:lang w:val="zh-CN"/>
        </w:rPr>
      </w:pPr>
      <w:r>
        <w:rPr>
          <w:rFonts w:hint="eastAsia" w:ascii="方正小标宋简体" w:hAnsi="宋体" w:eastAsia="方正小标宋简体"/>
          <w:color w:val="auto"/>
          <w:kern w:val="0"/>
          <w:sz w:val="40"/>
          <w:szCs w:val="44"/>
          <w:highlight w:val="none"/>
          <w:lang w:val="zh-CN"/>
        </w:rPr>
        <w:t>绩效评价报告</w:t>
      </w:r>
    </w:p>
    <w:p>
      <w:pPr>
        <w:widowControl/>
        <w:adjustRightInd w:val="0"/>
        <w:snapToGrid w:val="0"/>
        <w:spacing w:line="580" w:lineRule="exact"/>
        <w:ind w:firstLine="640" w:firstLineChars="200"/>
        <w:contextualSpacing/>
        <w:jc w:val="left"/>
        <w:rPr>
          <w:rFonts w:ascii="黑体" w:hAnsi="宋体" w:eastAsia="黑体" w:cs="宋体"/>
          <w:color w:val="auto"/>
          <w:kern w:val="0"/>
          <w:sz w:val="32"/>
          <w:szCs w:val="32"/>
          <w:highlight w:val="none"/>
          <w:shd w:val="clear" w:color="auto" w:fill="FFFFFF"/>
          <w:lang w:val="zh-CN"/>
        </w:rPr>
      </w:pPr>
      <w:r>
        <w:rPr>
          <w:rFonts w:hint="eastAsia" w:ascii="黑体" w:hAnsi="宋体" w:eastAsia="黑体" w:cs="宋体"/>
          <w:color w:val="auto"/>
          <w:kern w:val="0"/>
          <w:sz w:val="32"/>
          <w:szCs w:val="32"/>
          <w:highlight w:val="none"/>
          <w:shd w:val="clear" w:color="auto" w:fill="FFFFFF"/>
        </w:rPr>
        <w:t>一、</w:t>
      </w:r>
      <w:r>
        <w:rPr>
          <w:rFonts w:hint="eastAsia" w:ascii="黑体" w:hAnsi="宋体" w:eastAsia="黑体" w:cs="宋体"/>
          <w:color w:val="auto"/>
          <w:kern w:val="0"/>
          <w:sz w:val="32"/>
          <w:szCs w:val="32"/>
          <w:highlight w:val="none"/>
          <w:shd w:val="clear" w:color="auto" w:fill="FFFFFF"/>
          <w:lang w:val="zh-CN"/>
        </w:rPr>
        <w:t>部门（单位）概况</w:t>
      </w:r>
    </w:p>
    <w:p>
      <w:pPr>
        <w:spacing w:line="400" w:lineRule="exact"/>
        <w:ind w:firstLine="642"/>
        <w:rPr>
          <w:rFonts w:ascii="仿宋_GB2312" w:hAnsi="宋体" w:eastAsia="仿宋_GB2312" w:cs="宋体"/>
          <w:color w:val="auto"/>
          <w:kern w:val="0"/>
          <w:sz w:val="32"/>
          <w:szCs w:val="32"/>
          <w:highlight w:val="none"/>
          <w:shd w:val="clear" w:color="auto" w:fill="FFFFFF"/>
          <w:lang w:val="zh-CN"/>
        </w:rPr>
      </w:pPr>
      <w:r>
        <w:rPr>
          <w:rFonts w:hint="eastAsia" w:ascii="仿宋_GB2312" w:hAnsi="宋体" w:eastAsia="仿宋_GB2312" w:cs="宋体"/>
          <w:color w:val="auto"/>
          <w:kern w:val="0"/>
          <w:sz w:val="32"/>
          <w:szCs w:val="32"/>
          <w:highlight w:val="none"/>
          <w:shd w:val="clear" w:color="auto" w:fill="FFFFFF"/>
          <w:lang w:val="zh-CN"/>
        </w:rPr>
        <w:t>（一）机构组成。</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医院设置临床、医技科室41个，职能科室20个，其中骨伤科、心脑血管病科、针灸康复科等13个科室是国家级、省级和市级重点专科（含在建和培育单位）。</w:t>
      </w:r>
    </w:p>
    <w:p>
      <w:pPr>
        <w:widowControl/>
        <w:adjustRightInd w:val="0"/>
        <w:snapToGrid w:val="0"/>
        <w:spacing w:line="580" w:lineRule="exact"/>
        <w:ind w:firstLine="640" w:firstLineChars="200"/>
        <w:contextualSpacing/>
        <w:jc w:val="left"/>
        <w:rPr>
          <w:rFonts w:ascii="仿宋_GB2312" w:hAnsi="宋体" w:eastAsia="仿宋_GB2312" w:cs="宋体"/>
          <w:color w:val="auto"/>
          <w:kern w:val="0"/>
          <w:sz w:val="32"/>
          <w:szCs w:val="32"/>
          <w:highlight w:val="none"/>
          <w:shd w:val="clear" w:color="auto" w:fill="FFFFFF"/>
          <w:lang w:val="zh-CN"/>
        </w:rPr>
      </w:pPr>
      <w:r>
        <w:rPr>
          <w:rFonts w:hint="eastAsia" w:ascii="仿宋_GB2312" w:hAnsi="宋体" w:eastAsia="仿宋_GB2312" w:cs="宋体"/>
          <w:color w:val="auto"/>
          <w:kern w:val="0"/>
          <w:sz w:val="32"/>
          <w:szCs w:val="32"/>
          <w:highlight w:val="none"/>
          <w:shd w:val="clear" w:color="auto" w:fill="FFFFFF"/>
          <w:lang w:val="zh-CN"/>
        </w:rPr>
        <w:t>（二）机构职能。</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泸州市中医医院建于1959年，占地20亩、建筑面积3.4万平米，是集医疗、教学、科研、康复、预防保健、文化为一体的国家三级甲等中医医院、国家重点中医医院建设单位、国家级胸痛中心、国家级心衰中心、国家中医药管理局中医住院医师和中医全科医师规范化培训基地、国家级麻醉、急诊、康复、妇产专科医师规范化培训协同基地、西南医科大学附属泸州市中医医院、四川省数字化医院、华西医院远程教学和会诊医院、成都中医药大学和西南医科大学教学实习基地、泸州市脑卒中急救地图医院。</w:t>
      </w:r>
    </w:p>
    <w:p>
      <w:pPr>
        <w:widowControl/>
        <w:adjustRightInd w:val="0"/>
        <w:snapToGrid w:val="0"/>
        <w:spacing w:line="580" w:lineRule="exact"/>
        <w:ind w:firstLine="640" w:firstLineChars="200"/>
        <w:contextualSpacing/>
        <w:jc w:val="left"/>
        <w:rPr>
          <w:rFonts w:ascii="仿宋_GB2312" w:hAnsi="宋体" w:eastAsia="仿宋_GB2312" w:cs="宋体"/>
          <w:color w:val="auto"/>
          <w:kern w:val="0"/>
          <w:sz w:val="32"/>
          <w:szCs w:val="32"/>
          <w:highlight w:val="none"/>
          <w:shd w:val="clear" w:color="auto" w:fill="FFFFFF"/>
          <w:lang w:val="zh-CN"/>
        </w:rPr>
      </w:pPr>
      <w:r>
        <w:rPr>
          <w:rFonts w:hint="eastAsia" w:ascii="仿宋_GB2312" w:hAnsi="宋体" w:eastAsia="仿宋_GB2312" w:cs="宋体"/>
          <w:color w:val="auto"/>
          <w:kern w:val="0"/>
          <w:sz w:val="32"/>
          <w:szCs w:val="32"/>
          <w:highlight w:val="none"/>
          <w:shd w:val="clear" w:color="auto" w:fill="FFFFFF"/>
          <w:lang w:val="zh-CN"/>
        </w:rPr>
        <w:t>（三）人员概况。</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医院在岗职工900余人，拥有国家级、省级学术经验继承指导老师5人，全国中医优秀人才研修项目培养对象1人、国家中药特色技术传承人才2人、国家中医护理骨干2人、省市级名中医9人、省级优秀中医临床人才3人、省市级学术和技术带头人5人。</w:t>
      </w:r>
    </w:p>
    <w:p>
      <w:pPr>
        <w:widowControl/>
        <w:adjustRightInd w:val="0"/>
        <w:snapToGrid w:val="0"/>
        <w:spacing w:line="580" w:lineRule="exact"/>
        <w:ind w:firstLine="640" w:firstLineChars="200"/>
        <w:contextualSpacing/>
        <w:jc w:val="left"/>
        <w:rPr>
          <w:rFonts w:ascii="黑体" w:hAnsi="宋体" w:eastAsia="黑体" w:cs="宋体"/>
          <w:color w:val="auto"/>
          <w:kern w:val="0"/>
          <w:sz w:val="32"/>
          <w:szCs w:val="32"/>
          <w:highlight w:val="none"/>
          <w:shd w:val="clear" w:color="auto" w:fill="FFFFFF"/>
        </w:rPr>
      </w:pPr>
      <w:r>
        <w:rPr>
          <w:rFonts w:hint="eastAsia" w:ascii="黑体" w:hAnsi="宋体" w:eastAsia="黑体" w:cs="宋体"/>
          <w:color w:val="auto"/>
          <w:kern w:val="0"/>
          <w:sz w:val="32"/>
          <w:szCs w:val="32"/>
          <w:highlight w:val="none"/>
          <w:shd w:val="clear" w:color="auto" w:fill="FFFFFF"/>
        </w:rPr>
        <w:t>二、部门财政资金收支情况</w:t>
      </w:r>
    </w:p>
    <w:p>
      <w:pPr>
        <w:widowControl/>
        <w:adjustRightInd w:val="0"/>
        <w:snapToGrid w:val="0"/>
        <w:spacing w:line="580" w:lineRule="exact"/>
        <w:ind w:firstLine="640" w:firstLineChars="200"/>
        <w:contextualSpacing/>
        <w:jc w:val="left"/>
        <w:rPr>
          <w:rFonts w:ascii="仿宋_GB2312" w:hAnsi="宋体" w:eastAsia="仿宋_GB2312" w:cs="宋体"/>
          <w:color w:val="auto"/>
          <w:kern w:val="0"/>
          <w:sz w:val="32"/>
          <w:szCs w:val="32"/>
          <w:highlight w:val="none"/>
          <w:shd w:val="clear" w:color="auto" w:fill="FFFFFF"/>
          <w:lang w:val="zh-CN"/>
        </w:rPr>
      </w:pPr>
      <w:r>
        <w:rPr>
          <w:rFonts w:hint="eastAsia" w:ascii="仿宋_GB2312" w:hAnsi="宋体" w:eastAsia="仿宋_GB2312" w:cs="宋体"/>
          <w:color w:val="auto"/>
          <w:kern w:val="0"/>
          <w:sz w:val="32"/>
          <w:szCs w:val="32"/>
          <w:highlight w:val="none"/>
          <w:shd w:val="clear" w:color="auto" w:fill="FFFFFF"/>
          <w:lang w:val="zh-CN"/>
        </w:rPr>
        <w:t>（一）部门财政资金收入情况。</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年度财政拨款收入决算总计</w:t>
      </w:r>
      <w:r>
        <w:rPr>
          <w:rFonts w:hint="eastAsia" w:ascii="仿宋" w:hAnsi="仿宋" w:eastAsia="仿宋" w:cs="仿宋"/>
          <w:color w:val="auto"/>
          <w:sz w:val="28"/>
          <w:szCs w:val="28"/>
          <w:highlight w:val="none"/>
          <w:lang w:val="en-US" w:eastAsia="zh-CN"/>
        </w:rPr>
        <w:t>3523.15</w:t>
      </w:r>
      <w:r>
        <w:rPr>
          <w:rFonts w:hint="eastAsia" w:ascii="仿宋" w:hAnsi="仿宋" w:eastAsia="仿宋" w:cs="仿宋"/>
          <w:color w:val="auto"/>
          <w:sz w:val="28"/>
          <w:szCs w:val="28"/>
          <w:highlight w:val="none"/>
        </w:rPr>
        <w:t>万元。主要来源于社会保障和就业、医疗卫生</w:t>
      </w:r>
      <w:r>
        <w:rPr>
          <w:rFonts w:hint="eastAsia" w:ascii="仿宋" w:hAnsi="仿宋" w:eastAsia="仿宋" w:cs="仿宋"/>
          <w:color w:val="auto"/>
          <w:sz w:val="28"/>
          <w:szCs w:val="28"/>
          <w:highlight w:val="none"/>
          <w:lang w:eastAsia="zh-CN"/>
        </w:rPr>
        <w:t>、抗疫特别国债安排的支出</w:t>
      </w:r>
      <w:r>
        <w:rPr>
          <w:rFonts w:hint="eastAsia" w:ascii="仿宋" w:hAnsi="仿宋" w:eastAsia="仿宋" w:cs="仿宋"/>
          <w:color w:val="auto"/>
          <w:sz w:val="28"/>
          <w:szCs w:val="28"/>
          <w:highlight w:val="none"/>
        </w:rPr>
        <w:t>等方面。</w:t>
      </w:r>
    </w:p>
    <w:p>
      <w:pPr>
        <w:widowControl/>
        <w:adjustRightInd w:val="0"/>
        <w:snapToGrid w:val="0"/>
        <w:spacing w:line="580" w:lineRule="exact"/>
        <w:ind w:firstLine="640" w:firstLineChars="200"/>
        <w:contextualSpacing/>
        <w:jc w:val="left"/>
        <w:rPr>
          <w:rFonts w:ascii="仿宋_GB2312" w:hAnsi="宋体" w:eastAsia="仿宋_GB2312" w:cs="宋体"/>
          <w:color w:val="auto"/>
          <w:kern w:val="0"/>
          <w:sz w:val="32"/>
          <w:szCs w:val="32"/>
          <w:highlight w:val="none"/>
          <w:shd w:val="clear" w:color="auto" w:fill="FFFFFF"/>
          <w:lang w:val="zh-CN"/>
        </w:rPr>
      </w:pPr>
      <w:r>
        <w:rPr>
          <w:rFonts w:hint="eastAsia" w:ascii="仿宋_GB2312" w:hAnsi="宋体" w:eastAsia="仿宋_GB2312" w:cs="宋体"/>
          <w:color w:val="auto"/>
          <w:kern w:val="0"/>
          <w:sz w:val="32"/>
          <w:szCs w:val="32"/>
          <w:highlight w:val="none"/>
          <w:shd w:val="clear" w:color="auto" w:fill="FFFFFF"/>
          <w:lang w:val="zh-CN"/>
        </w:rPr>
        <w:t>（二）部门财政资金支出情况。</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2020</w:t>
      </w:r>
      <w:r>
        <w:rPr>
          <w:rFonts w:hint="eastAsia" w:ascii="仿宋" w:hAnsi="仿宋" w:eastAsia="仿宋" w:cs="仿宋"/>
          <w:color w:val="auto"/>
          <w:sz w:val="28"/>
          <w:szCs w:val="28"/>
          <w:highlight w:val="none"/>
        </w:rPr>
        <w:t>年度财政拨款支出决算总计</w:t>
      </w:r>
      <w:r>
        <w:rPr>
          <w:rFonts w:hint="eastAsia" w:ascii="仿宋" w:hAnsi="仿宋" w:eastAsia="仿宋" w:cs="仿宋"/>
          <w:color w:val="auto"/>
          <w:sz w:val="28"/>
          <w:szCs w:val="28"/>
          <w:highlight w:val="none"/>
          <w:lang w:val="en-US" w:eastAsia="zh-CN"/>
        </w:rPr>
        <w:t>3494.38</w:t>
      </w:r>
      <w:r>
        <w:rPr>
          <w:rFonts w:hint="eastAsia" w:ascii="仿宋" w:hAnsi="仿宋" w:eastAsia="仿宋" w:cs="仿宋"/>
          <w:color w:val="auto"/>
          <w:sz w:val="28"/>
          <w:szCs w:val="28"/>
          <w:highlight w:val="none"/>
        </w:rPr>
        <w:t>万元。主要用于以下方面:科学技术支出</w:t>
      </w:r>
      <w:r>
        <w:rPr>
          <w:rFonts w:hint="eastAsia" w:ascii="仿宋" w:hAnsi="仿宋" w:eastAsia="仿宋" w:cs="仿宋"/>
          <w:color w:val="auto"/>
          <w:sz w:val="28"/>
          <w:szCs w:val="28"/>
          <w:highlight w:val="none"/>
          <w:lang w:val="en-US" w:eastAsia="zh-CN"/>
        </w:rPr>
        <w:t>1.76</w:t>
      </w:r>
      <w:r>
        <w:rPr>
          <w:rFonts w:hint="eastAsia" w:ascii="仿宋" w:hAnsi="仿宋" w:eastAsia="仿宋" w:cs="仿宋"/>
          <w:color w:val="auto"/>
          <w:sz w:val="28"/>
          <w:szCs w:val="28"/>
          <w:highlight w:val="none"/>
        </w:rPr>
        <w:t>万元，社会保障和就业支出</w:t>
      </w:r>
      <w:r>
        <w:rPr>
          <w:rFonts w:hint="eastAsia" w:ascii="仿宋" w:hAnsi="仿宋" w:eastAsia="仿宋" w:cs="仿宋"/>
          <w:color w:val="auto"/>
          <w:sz w:val="28"/>
          <w:szCs w:val="28"/>
          <w:highlight w:val="none"/>
          <w:lang w:val="en-US" w:eastAsia="zh-CN"/>
        </w:rPr>
        <w:t>441.04</w:t>
      </w:r>
      <w:r>
        <w:rPr>
          <w:rFonts w:hint="eastAsia" w:ascii="仿宋" w:hAnsi="仿宋" w:eastAsia="仿宋" w:cs="仿宋"/>
          <w:color w:val="auto"/>
          <w:sz w:val="28"/>
          <w:szCs w:val="28"/>
          <w:highlight w:val="none"/>
        </w:rPr>
        <w:t>万元，医疗卫生支出</w:t>
      </w:r>
      <w:r>
        <w:rPr>
          <w:rFonts w:hint="eastAsia" w:ascii="仿宋" w:hAnsi="仿宋" w:eastAsia="仿宋" w:cs="仿宋"/>
          <w:color w:val="auto"/>
          <w:sz w:val="28"/>
          <w:szCs w:val="28"/>
          <w:highlight w:val="none"/>
          <w:lang w:val="en-US" w:eastAsia="zh-CN"/>
        </w:rPr>
        <w:t>1734.69</w:t>
      </w:r>
      <w:r>
        <w:rPr>
          <w:rFonts w:hint="eastAsia" w:ascii="仿宋" w:hAnsi="仿宋" w:eastAsia="仿宋" w:cs="仿宋"/>
          <w:color w:val="auto"/>
          <w:sz w:val="28"/>
          <w:szCs w:val="28"/>
          <w:highlight w:val="none"/>
        </w:rPr>
        <w:t>万元</w:t>
      </w:r>
      <w:r>
        <w:rPr>
          <w:rFonts w:hint="eastAsia" w:ascii="仿宋" w:hAnsi="仿宋" w:eastAsia="仿宋" w:cs="仿宋"/>
          <w:color w:val="auto"/>
          <w:sz w:val="28"/>
          <w:szCs w:val="28"/>
          <w:highlight w:val="none"/>
          <w:lang w:eastAsia="zh-CN"/>
        </w:rPr>
        <w:t>，抗疫特别国债安排的支出</w:t>
      </w:r>
      <w:r>
        <w:rPr>
          <w:rFonts w:hint="eastAsia" w:ascii="仿宋" w:hAnsi="仿宋" w:eastAsia="仿宋" w:cs="仿宋"/>
          <w:color w:val="auto"/>
          <w:sz w:val="28"/>
          <w:szCs w:val="28"/>
          <w:highlight w:val="none"/>
          <w:lang w:val="en-US" w:eastAsia="zh-CN"/>
        </w:rPr>
        <w:t>1316.89万元</w:t>
      </w:r>
      <w:r>
        <w:rPr>
          <w:rFonts w:hint="eastAsia" w:ascii="仿宋" w:hAnsi="仿宋" w:eastAsia="仿宋" w:cs="仿宋"/>
          <w:color w:val="auto"/>
          <w:sz w:val="28"/>
          <w:szCs w:val="28"/>
          <w:highlight w:val="none"/>
        </w:rPr>
        <w:t>。</w:t>
      </w:r>
    </w:p>
    <w:p>
      <w:pPr>
        <w:widowControl/>
        <w:adjustRightInd w:val="0"/>
        <w:snapToGrid w:val="0"/>
        <w:spacing w:line="580" w:lineRule="exact"/>
        <w:ind w:firstLine="640" w:firstLineChars="200"/>
        <w:contextualSpacing/>
        <w:jc w:val="left"/>
        <w:rPr>
          <w:rFonts w:ascii="黑体" w:hAnsi="宋体" w:eastAsia="黑体" w:cs="宋体"/>
          <w:color w:val="auto"/>
          <w:kern w:val="0"/>
          <w:sz w:val="32"/>
          <w:szCs w:val="32"/>
          <w:highlight w:val="none"/>
          <w:shd w:val="clear" w:color="auto" w:fill="FFFFFF"/>
        </w:rPr>
      </w:pPr>
      <w:r>
        <w:rPr>
          <w:rFonts w:hint="eastAsia" w:ascii="黑体" w:hAnsi="宋体" w:eastAsia="黑体" w:cs="宋体"/>
          <w:color w:val="auto"/>
          <w:kern w:val="0"/>
          <w:sz w:val="32"/>
          <w:szCs w:val="32"/>
          <w:highlight w:val="none"/>
          <w:shd w:val="clear" w:color="auto" w:fill="FFFFFF"/>
        </w:rPr>
        <w:t>三、部门整体预算绩效管理情况</w:t>
      </w:r>
    </w:p>
    <w:p>
      <w:pPr>
        <w:widowControl/>
        <w:adjustRightInd w:val="0"/>
        <w:snapToGrid w:val="0"/>
        <w:spacing w:line="580" w:lineRule="exact"/>
        <w:ind w:firstLine="640" w:firstLineChars="200"/>
        <w:contextualSpacing/>
        <w:jc w:val="left"/>
        <w:rPr>
          <w:rFonts w:hint="eastAsia" w:ascii="仿宋_GB2312" w:hAnsi="宋体" w:eastAsia="仿宋_GB2312" w:cs="宋体"/>
          <w:color w:val="auto"/>
          <w:kern w:val="0"/>
          <w:sz w:val="32"/>
          <w:szCs w:val="32"/>
          <w:highlight w:val="none"/>
          <w:shd w:val="clear" w:color="auto" w:fill="FFFFFF"/>
          <w:lang w:val="zh-CN"/>
        </w:rPr>
      </w:pPr>
      <w:r>
        <w:rPr>
          <w:rFonts w:hint="eastAsia" w:ascii="仿宋_GB2312" w:hAnsi="宋体" w:eastAsia="仿宋_GB2312" w:cs="宋体"/>
          <w:color w:val="auto"/>
          <w:kern w:val="0"/>
          <w:sz w:val="32"/>
          <w:szCs w:val="32"/>
          <w:highlight w:val="none"/>
          <w:shd w:val="clear" w:color="auto" w:fill="FFFFFF"/>
          <w:lang w:val="zh-CN"/>
        </w:rPr>
        <w:t>（一）部门预算管理。</w:t>
      </w:r>
    </w:p>
    <w:p>
      <w:pPr>
        <w:spacing w:line="500" w:lineRule="exact"/>
        <w:ind w:firstLine="642"/>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lang w:val="zh-CN" w:eastAsia="zh-CN"/>
        </w:rPr>
        <w:t>预算编制。</w:t>
      </w:r>
      <w:r>
        <w:rPr>
          <w:rFonts w:hint="eastAsia" w:ascii="仿宋" w:hAnsi="仿宋" w:eastAsia="仿宋" w:cs="仿宋"/>
          <w:color w:val="auto"/>
          <w:sz w:val="28"/>
          <w:szCs w:val="28"/>
          <w:highlight w:val="none"/>
          <w:lang w:val="en-US" w:eastAsia="zh-CN"/>
        </w:rPr>
        <w:t>医院成立预算领导小组，由单位领导人担任领导，相关职能部门的负责人为成员，建立领导集体决策制度。按照《预算法》、《预算管理制度》编制预算，</w:t>
      </w:r>
      <w:r>
        <w:rPr>
          <w:rFonts w:hint="eastAsia" w:ascii="仿宋" w:hAnsi="仿宋" w:eastAsia="仿宋" w:cs="仿宋"/>
          <w:color w:val="auto"/>
          <w:sz w:val="28"/>
          <w:szCs w:val="28"/>
          <w:highlight w:val="none"/>
        </w:rPr>
        <w:t>各项收支全部纳入统一预算管理，坚持以收定支，略有结余，不得编制赤字预算。</w:t>
      </w:r>
      <w:r>
        <w:rPr>
          <w:rFonts w:hint="eastAsia" w:ascii="仿宋" w:hAnsi="仿宋" w:eastAsia="仿宋" w:cs="仿宋"/>
          <w:color w:val="auto"/>
          <w:sz w:val="28"/>
          <w:szCs w:val="28"/>
          <w:highlight w:val="none"/>
          <w:lang w:val="en-US" w:eastAsia="zh-CN"/>
        </w:rPr>
        <w:t>按照要求编制绩效目标，并细化绩效指标，年初绩效目标实际实现程度与预期目标的偏离度不大，编制比较科学准确。</w:t>
      </w:r>
    </w:p>
    <w:p>
      <w:pPr>
        <w:spacing w:line="500" w:lineRule="exact"/>
        <w:ind w:firstLine="642"/>
        <w:rPr>
          <w:rFonts w:hint="eastAsia" w:ascii="仿宋" w:hAnsi="仿宋" w:eastAsia="仿宋" w:cs="仿宋"/>
          <w:color w:val="auto"/>
          <w:sz w:val="28"/>
          <w:szCs w:val="28"/>
          <w:highlight w:val="none"/>
          <w:lang w:val="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lang w:val="zh-CN"/>
        </w:rPr>
        <w:t>预算执行。我单位属于财政差额拨款事业单位，</w:t>
      </w:r>
      <w:r>
        <w:rPr>
          <w:rFonts w:hint="eastAsia" w:ascii="仿宋" w:hAnsi="仿宋" w:eastAsia="仿宋" w:cs="仿宋"/>
          <w:color w:val="auto"/>
          <w:sz w:val="28"/>
          <w:szCs w:val="28"/>
          <w:highlight w:val="none"/>
        </w:rPr>
        <w:t>内部各个职能管理部门为预算执行部门，</w:t>
      </w:r>
      <w:r>
        <w:rPr>
          <w:rFonts w:hint="eastAsia" w:ascii="仿宋" w:hAnsi="仿宋" w:eastAsia="仿宋" w:cs="仿宋"/>
          <w:color w:val="auto"/>
          <w:sz w:val="28"/>
          <w:szCs w:val="28"/>
          <w:highlight w:val="none"/>
          <w:lang w:eastAsia="zh-CN"/>
        </w:rPr>
        <w:t>所有项目资金</w:t>
      </w:r>
      <w:r>
        <w:rPr>
          <w:rFonts w:hint="eastAsia" w:ascii="仿宋" w:hAnsi="仿宋" w:eastAsia="仿宋" w:cs="仿宋"/>
          <w:color w:val="auto"/>
          <w:sz w:val="28"/>
          <w:szCs w:val="28"/>
          <w:highlight w:val="none"/>
        </w:rPr>
        <w:t>在预算批准范围内实施控制</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zh-CN"/>
        </w:rPr>
        <w:t>按照合同的约定、方案的要求进行支付相关款项。</w:t>
      </w:r>
    </w:p>
    <w:p>
      <w:pPr>
        <w:spacing w:line="500" w:lineRule="exact"/>
        <w:ind w:firstLine="642"/>
        <w:rPr>
          <w:rFonts w:hint="eastAsia" w:ascii="仿宋" w:hAnsi="仿宋" w:eastAsia="仿宋" w:cs="仿宋"/>
          <w:color w:val="auto"/>
          <w:sz w:val="28"/>
          <w:szCs w:val="28"/>
          <w:highlight w:val="none"/>
          <w:lang w:val="zh-CN"/>
        </w:rPr>
      </w:pPr>
      <w:r>
        <w:rPr>
          <w:rFonts w:hint="eastAsia" w:ascii="仿宋" w:hAnsi="仿宋" w:eastAsia="仿宋" w:cs="仿宋"/>
          <w:color w:val="auto"/>
          <w:sz w:val="28"/>
          <w:szCs w:val="28"/>
          <w:highlight w:val="none"/>
          <w:lang w:val="zh-CN"/>
        </w:rPr>
        <w:t>本单位在</w:t>
      </w:r>
      <w:r>
        <w:rPr>
          <w:rFonts w:hint="eastAsia" w:ascii="仿宋" w:hAnsi="仿宋" w:eastAsia="仿宋" w:cs="仿宋"/>
          <w:color w:val="auto"/>
          <w:sz w:val="28"/>
          <w:szCs w:val="28"/>
          <w:highlight w:val="none"/>
          <w:lang w:val="en-US" w:eastAsia="zh-CN"/>
        </w:rPr>
        <w:t>2020年6月完成年初项目总预算27.76%，2020年9月完成年初项目总预算的39.15%，2020年11月完成年初项目总预算87.52%。</w:t>
      </w:r>
    </w:p>
    <w:p>
      <w:pPr>
        <w:numPr>
          <w:ilvl w:val="0"/>
          <w:numId w:val="6"/>
        </w:numPr>
        <w:spacing w:line="500" w:lineRule="exact"/>
        <w:ind w:firstLine="642"/>
        <w:rPr>
          <w:rFonts w:hint="eastAsia" w:ascii="仿宋" w:hAnsi="仿宋" w:eastAsia="仿宋" w:cs="仿宋"/>
          <w:color w:val="auto"/>
          <w:sz w:val="28"/>
          <w:szCs w:val="28"/>
          <w:highlight w:val="none"/>
          <w:lang w:val="zh-CN"/>
        </w:rPr>
      </w:pPr>
      <w:r>
        <w:rPr>
          <w:rFonts w:hint="eastAsia" w:ascii="仿宋" w:hAnsi="仿宋" w:eastAsia="仿宋" w:cs="仿宋"/>
          <w:color w:val="auto"/>
          <w:sz w:val="28"/>
          <w:szCs w:val="28"/>
          <w:highlight w:val="none"/>
          <w:lang w:val="zh-CN"/>
        </w:rPr>
        <w:t>完成结果。绝大部份项目在</w:t>
      </w:r>
      <w:r>
        <w:rPr>
          <w:rFonts w:hint="eastAsia" w:ascii="仿宋" w:hAnsi="仿宋" w:eastAsia="仿宋" w:cs="仿宋"/>
          <w:color w:val="auto"/>
          <w:sz w:val="28"/>
          <w:szCs w:val="28"/>
          <w:highlight w:val="none"/>
          <w:lang w:val="en-US" w:eastAsia="zh-CN"/>
        </w:rPr>
        <w:t>2020年底</w:t>
      </w:r>
      <w:r>
        <w:rPr>
          <w:rFonts w:hint="eastAsia" w:ascii="仿宋" w:hAnsi="仿宋" w:eastAsia="仿宋" w:cs="仿宋"/>
          <w:color w:val="auto"/>
          <w:sz w:val="28"/>
          <w:szCs w:val="28"/>
          <w:highlight w:val="none"/>
          <w:lang w:val="zh-CN"/>
        </w:rPr>
        <w:t>完成，部份项目由于属于预下达</w:t>
      </w:r>
      <w:r>
        <w:rPr>
          <w:rFonts w:hint="eastAsia" w:ascii="仿宋" w:hAnsi="仿宋" w:eastAsia="仿宋" w:cs="仿宋"/>
          <w:color w:val="auto"/>
          <w:sz w:val="28"/>
          <w:szCs w:val="28"/>
          <w:highlight w:val="none"/>
          <w:lang w:val="en-US" w:eastAsia="zh-CN"/>
        </w:rPr>
        <w:t>2021年</w:t>
      </w:r>
      <w:r>
        <w:rPr>
          <w:rFonts w:hint="eastAsia" w:ascii="仿宋" w:hAnsi="仿宋" w:eastAsia="仿宋" w:cs="仿宋"/>
          <w:color w:val="auto"/>
          <w:sz w:val="28"/>
          <w:szCs w:val="28"/>
          <w:highlight w:val="none"/>
          <w:lang w:val="zh-CN"/>
        </w:rPr>
        <w:t>项目或项目的执行期限未到等原因而未完成。在预算管理方面接受审计监督、财政检查，不存在违规情况。</w:t>
      </w:r>
    </w:p>
    <w:p>
      <w:pPr>
        <w:widowControl/>
        <w:adjustRightInd w:val="0"/>
        <w:snapToGrid w:val="0"/>
        <w:spacing w:line="580" w:lineRule="exact"/>
        <w:ind w:firstLine="640" w:firstLineChars="200"/>
        <w:contextualSpacing/>
        <w:jc w:val="left"/>
        <w:rPr>
          <w:rFonts w:ascii="仿宋_GB2312" w:hAnsi="宋体" w:eastAsia="仿宋_GB2312" w:cs="宋体"/>
          <w:color w:val="auto"/>
          <w:kern w:val="0"/>
          <w:sz w:val="32"/>
          <w:szCs w:val="32"/>
          <w:highlight w:val="none"/>
          <w:shd w:val="clear" w:color="auto" w:fill="FFFFFF"/>
          <w:lang w:val="zh-CN"/>
        </w:rPr>
      </w:pPr>
      <w:r>
        <w:rPr>
          <w:rFonts w:hint="eastAsia" w:ascii="仿宋_GB2312" w:hAnsi="宋体" w:eastAsia="仿宋_GB2312" w:cs="宋体"/>
          <w:color w:val="auto"/>
          <w:kern w:val="0"/>
          <w:sz w:val="32"/>
          <w:szCs w:val="32"/>
          <w:highlight w:val="none"/>
          <w:shd w:val="clear" w:color="auto" w:fill="FFFFFF"/>
          <w:lang w:val="zh-CN"/>
        </w:rPr>
        <w:t>（二）结果应用情况。</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我单位按要求对部门整体支出开展绩效自评，也自行组织对项目开展绩效评价，主要从经济效益、社会效益、可持续效益、服务对象满意度等方面进行评价。在自评过程发现存在的问题和不足，进行自我反省和改正，以便更好地优化资金的使用和发展中医药事业。</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我单位每年预决算按规定在指定时间内进行公开。</w:t>
      </w:r>
    </w:p>
    <w:p>
      <w:pPr>
        <w:widowControl/>
        <w:adjustRightInd w:val="0"/>
        <w:snapToGrid w:val="0"/>
        <w:spacing w:line="580" w:lineRule="exact"/>
        <w:ind w:firstLine="640" w:firstLineChars="200"/>
        <w:contextualSpacing/>
        <w:jc w:val="left"/>
        <w:rPr>
          <w:rFonts w:ascii="黑体" w:hAnsi="宋体" w:eastAsia="黑体" w:cs="宋体"/>
          <w:color w:val="auto"/>
          <w:kern w:val="0"/>
          <w:sz w:val="32"/>
          <w:szCs w:val="32"/>
          <w:highlight w:val="none"/>
          <w:shd w:val="clear" w:color="auto" w:fill="FFFFFF"/>
        </w:rPr>
      </w:pPr>
      <w:r>
        <w:rPr>
          <w:rFonts w:hint="eastAsia" w:ascii="黑体" w:hAnsi="宋体" w:eastAsia="黑体" w:cs="宋体"/>
          <w:color w:val="auto"/>
          <w:kern w:val="0"/>
          <w:sz w:val="32"/>
          <w:szCs w:val="32"/>
          <w:highlight w:val="none"/>
          <w:shd w:val="clear" w:color="auto" w:fill="FFFFFF"/>
        </w:rPr>
        <w:t>四、评价结论及建议</w:t>
      </w:r>
    </w:p>
    <w:p>
      <w:pPr>
        <w:widowControl/>
        <w:adjustRightInd w:val="0"/>
        <w:snapToGrid w:val="0"/>
        <w:spacing w:line="580" w:lineRule="exact"/>
        <w:ind w:firstLine="640" w:firstLineChars="200"/>
        <w:contextualSpacing/>
        <w:jc w:val="left"/>
        <w:rPr>
          <w:rFonts w:ascii="仿宋_GB2312" w:hAnsi="宋体" w:eastAsia="仿宋_GB2312" w:cs="宋体"/>
          <w:color w:val="auto"/>
          <w:kern w:val="0"/>
          <w:sz w:val="32"/>
          <w:szCs w:val="32"/>
          <w:highlight w:val="none"/>
          <w:shd w:val="clear" w:color="auto" w:fill="FFFFFF"/>
          <w:lang w:val="zh-CN"/>
        </w:rPr>
      </w:pPr>
      <w:r>
        <w:rPr>
          <w:rFonts w:hint="eastAsia" w:ascii="仿宋_GB2312" w:hAnsi="宋体" w:eastAsia="仿宋_GB2312" w:cs="宋体"/>
          <w:color w:val="auto"/>
          <w:kern w:val="0"/>
          <w:sz w:val="32"/>
          <w:szCs w:val="32"/>
          <w:highlight w:val="none"/>
          <w:shd w:val="clear" w:color="auto" w:fill="FFFFFF"/>
          <w:lang w:val="zh-CN"/>
        </w:rPr>
        <w:t>（一）评价结论。</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资金使用方面，严格按照项目资金管理办法使用；资金核算方面，严格按照医院会计制度、事业单位会计制度核算。</w:t>
      </w:r>
    </w:p>
    <w:p>
      <w:pPr>
        <w:widowControl/>
        <w:adjustRightInd w:val="0"/>
        <w:snapToGrid w:val="0"/>
        <w:spacing w:line="580" w:lineRule="exact"/>
        <w:ind w:firstLine="640" w:firstLineChars="200"/>
        <w:contextualSpacing/>
        <w:jc w:val="left"/>
        <w:rPr>
          <w:rFonts w:ascii="仿宋_GB2312" w:hAnsi="宋体" w:eastAsia="仿宋_GB2312" w:cs="宋体"/>
          <w:color w:val="auto"/>
          <w:kern w:val="0"/>
          <w:sz w:val="32"/>
          <w:szCs w:val="32"/>
          <w:highlight w:val="none"/>
          <w:shd w:val="clear" w:color="auto" w:fill="FFFFFF"/>
          <w:lang w:val="zh-CN"/>
        </w:rPr>
      </w:pPr>
      <w:r>
        <w:rPr>
          <w:rFonts w:hint="eastAsia" w:ascii="仿宋_GB2312" w:hAnsi="宋体" w:eastAsia="仿宋_GB2312" w:cs="宋体"/>
          <w:color w:val="auto"/>
          <w:kern w:val="0"/>
          <w:sz w:val="32"/>
          <w:szCs w:val="32"/>
          <w:highlight w:val="none"/>
          <w:shd w:val="clear" w:color="auto" w:fill="FFFFFF"/>
          <w:lang w:val="zh-CN"/>
        </w:rPr>
        <w:t>（二）存在问题。</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医院规模在发展，医疗技术在提高，服务就医人群在增大，医疗设备在更新和增加，医护人员持续增长，但上级主管部门给予资金的补助却逐年递减。</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国家提出扶持和促进中医药事业发展的意见，但在同级医院中，中医医院的财政补助资金却长期低于综合性医院，不利于泸州中医药事业的发展。</w:t>
      </w:r>
    </w:p>
    <w:p>
      <w:pPr>
        <w:widowControl/>
        <w:adjustRightInd w:val="0"/>
        <w:snapToGrid w:val="0"/>
        <w:spacing w:line="580" w:lineRule="exact"/>
        <w:ind w:firstLine="640" w:firstLineChars="200"/>
        <w:contextualSpacing/>
        <w:jc w:val="left"/>
        <w:rPr>
          <w:rFonts w:ascii="仿宋_GB2312" w:hAnsi="宋体" w:eastAsia="仿宋_GB2312" w:cs="宋体"/>
          <w:color w:val="auto"/>
          <w:kern w:val="0"/>
          <w:sz w:val="32"/>
          <w:szCs w:val="32"/>
          <w:highlight w:val="none"/>
          <w:shd w:val="clear" w:color="auto" w:fill="FFFFFF"/>
          <w:lang w:val="zh-CN"/>
        </w:rPr>
      </w:pPr>
      <w:r>
        <w:rPr>
          <w:rFonts w:hint="eastAsia" w:ascii="仿宋_GB2312" w:hAnsi="宋体" w:eastAsia="仿宋_GB2312" w:cs="宋体"/>
          <w:color w:val="auto"/>
          <w:kern w:val="0"/>
          <w:sz w:val="32"/>
          <w:szCs w:val="32"/>
          <w:highlight w:val="none"/>
          <w:shd w:val="clear" w:color="auto" w:fill="FFFFFF"/>
          <w:lang w:val="zh-CN"/>
        </w:rPr>
        <w:t>（三）改进建议。</w:t>
      </w:r>
    </w:p>
    <w:p>
      <w:pPr>
        <w:spacing w:line="500" w:lineRule="exact"/>
        <w:ind w:firstLine="642"/>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在国家大力提倡扶持和促进中医药事业的发展的形势下，建议多出台扶持中医事业发展的政策，提高对中医医院财政补助资金的比例。我院将积极响应国家的号召，发挥中医药特色优势，开展特色诊疗技术，创新中医药理论和技术方法，不断改善医疗环境和培训中医药人才，更好地为广大患者提供优质服务。</w:t>
      </w:r>
    </w:p>
    <w:p>
      <w:pPr>
        <w:widowControl/>
        <w:adjustRightInd w:val="0"/>
        <w:snapToGrid w:val="0"/>
        <w:spacing w:line="580" w:lineRule="exact"/>
        <w:ind w:firstLine="900" w:firstLineChars="250"/>
        <w:contextualSpacing/>
        <w:jc w:val="left"/>
        <w:rPr>
          <w:rFonts w:ascii="方正小标宋简体" w:eastAsia="方正小标宋简体"/>
          <w:color w:val="auto"/>
          <w:sz w:val="36"/>
          <w:szCs w:val="36"/>
          <w:highlight w:val="none"/>
        </w:rPr>
      </w:pPr>
    </w:p>
    <w:p>
      <w:pPr>
        <w:widowControl/>
        <w:adjustRightInd w:val="0"/>
        <w:snapToGrid w:val="0"/>
        <w:spacing w:line="580" w:lineRule="exact"/>
        <w:contextualSpacing/>
        <w:jc w:val="left"/>
        <w:rPr>
          <w:rFonts w:ascii="方正小标宋简体" w:eastAsia="方正小标宋简体"/>
          <w:color w:val="auto"/>
          <w:sz w:val="36"/>
          <w:szCs w:val="36"/>
          <w:highlight w:val="none"/>
        </w:rPr>
      </w:pPr>
    </w:p>
    <w:p>
      <w:pPr>
        <w:widowControl/>
        <w:adjustRightInd w:val="0"/>
        <w:snapToGrid w:val="0"/>
        <w:spacing w:line="580" w:lineRule="exact"/>
        <w:ind w:firstLine="900" w:firstLineChars="250"/>
        <w:contextualSpacing/>
        <w:jc w:val="left"/>
        <w:rPr>
          <w:rFonts w:ascii="方正小标宋简体" w:eastAsia="方正小标宋简体"/>
          <w:color w:val="auto"/>
          <w:sz w:val="36"/>
          <w:szCs w:val="36"/>
          <w:highlight w:val="none"/>
        </w:rPr>
      </w:pPr>
    </w:p>
    <w:p>
      <w:pPr>
        <w:widowControl/>
        <w:adjustRightInd w:val="0"/>
        <w:snapToGrid w:val="0"/>
        <w:spacing w:line="580" w:lineRule="exact"/>
        <w:ind w:firstLine="900" w:firstLineChars="250"/>
        <w:contextualSpacing/>
        <w:jc w:val="left"/>
        <w:rPr>
          <w:rFonts w:ascii="方正小标宋简体" w:eastAsia="方正小标宋简体"/>
          <w:color w:val="auto"/>
          <w:sz w:val="36"/>
          <w:szCs w:val="36"/>
          <w:highlight w:val="none"/>
        </w:rPr>
      </w:pPr>
    </w:p>
    <w:p>
      <w:pPr>
        <w:widowControl/>
        <w:adjustRightInd w:val="0"/>
        <w:snapToGrid w:val="0"/>
        <w:spacing w:line="580" w:lineRule="exact"/>
        <w:ind w:firstLine="900" w:firstLineChars="250"/>
        <w:contextualSpacing/>
        <w:jc w:val="left"/>
        <w:rPr>
          <w:rFonts w:ascii="方正小标宋简体" w:eastAsia="方正小标宋简体"/>
          <w:color w:val="auto"/>
          <w:sz w:val="36"/>
          <w:szCs w:val="36"/>
          <w:highlight w:val="none"/>
        </w:rPr>
      </w:pPr>
    </w:p>
    <w:p>
      <w:pPr>
        <w:widowControl/>
        <w:adjustRightInd w:val="0"/>
        <w:snapToGrid w:val="0"/>
        <w:spacing w:line="580" w:lineRule="exact"/>
        <w:ind w:firstLine="900" w:firstLineChars="250"/>
        <w:contextualSpacing/>
        <w:jc w:val="left"/>
        <w:rPr>
          <w:rFonts w:ascii="方正小标宋简体" w:eastAsia="方正小标宋简体"/>
          <w:color w:val="auto"/>
          <w:sz w:val="36"/>
          <w:szCs w:val="36"/>
          <w:highlight w:val="none"/>
        </w:rPr>
      </w:pPr>
    </w:p>
    <w:p>
      <w:pPr>
        <w:widowControl/>
        <w:adjustRightInd w:val="0"/>
        <w:snapToGrid w:val="0"/>
        <w:spacing w:line="580" w:lineRule="exact"/>
        <w:ind w:firstLine="900" w:firstLineChars="250"/>
        <w:contextualSpacing/>
        <w:jc w:val="left"/>
        <w:rPr>
          <w:rFonts w:ascii="方正小标宋简体" w:eastAsia="方正小标宋简体"/>
          <w:color w:val="auto"/>
          <w:sz w:val="36"/>
          <w:szCs w:val="36"/>
          <w:highlight w:val="none"/>
        </w:rPr>
      </w:pPr>
    </w:p>
    <w:p>
      <w:pPr>
        <w:widowControl/>
        <w:adjustRightInd w:val="0"/>
        <w:snapToGrid w:val="0"/>
        <w:spacing w:line="580" w:lineRule="exact"/>
        <w:ind w:firstLine="900" w:firstLineChars="250"/>
        <w:contextualSpacing/>
        <w:jc w:val="left"/>
        <w:rPr>
          <w:rFonts w:hint="eastAsia" w:ascii="方正小标宋简体" w:eastAsia="方正小标宋简体"/>
          <w:color w:val="auto"/>
          <w:sz w:val="36"/>
          <w:szCs w:val="36"/>
          <w:highlight w:val="none"/>
        </w:rPr>
      </w:pPr>
      <w:r>
        <w:rPr>
          <w:rFonts w:hint="eastAsia" w:ascii="方正小标宋简体" w:eastAsia="方正小标宋简体"/>
          <w:color w:val="auto"/>
          <w:sz w:val="36"/>
          <w:szCs w:val="36"/>
          <w:highlight w:val="none"/>
          <w:lang w:val="en-US" w:eastAsia="zh-CN"/>
        </w:rPr>
        <w:t>2020</w:t>
      </w:r>
      <w:r>
        <w:rPr>
          <w:rFonts w:hint="eastAsia" w:ascii="方正小标宋简体" w:eastAsia="方正小标宋简体"/>
          <w:color w:val="auto"/>
          <w:sz w:val="36"/>
          <w:szCs w:val="36"/>
          <w:highlight w:val="none"/>
        </w:rPr>
        <w:t>年度部门整体支出绩效评价自评表</w:t>
      </w:r>
    </w:p>
    <w:p>
      <w:pPr>
        <w:widowControl/>
        <w:adjustRightInd w:val="0"/>
        <w:snapToGrid w:val="0"/>
        <w:spacing w:line="580" w:lineRule="exact"/>
        <w:ind w:firstLine="900" w:firstLineChars="250"/>
        <w:contextualSpacing/>
        <w:jc w:val="left"/>
        <w:rPr>
          <w:rFonts w:hint="eastAsia" w:ascii="方正小标宋简体" w:eastAsia="方正小标宋简体"/>
          <w:color w:val="auto"/>
          <w:sz w:val="36"/>
          <w:szCs w:val="36"/>
          <w:highlight w:val="none"/>
        </w:rPr>
      </w:pPr>
    </w:p>
    <w:tbl>
      <w:tblPr>
        <w:tblStyle w:val="16"/>
        <w:tblW w:w="8931"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77"/>
        <w:gridCol w:w="1134"/>
        <w:gridCol w:w="1983"/>
        <w:gridCol w:w="427"/>
        <w:gridCol w:w="3118"/>
        <w:gridCol w:w="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0" w:hRule="atLeast"/>
          <w:jc w:val="center"/>
        </w:trPr>
        <w:tc>
          <w:tcPr>
            <w:tcW w:w="439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color w:val="auto"/>
                <w:sz w:val="24"/>
                <w:highlight w:val="none"/>
              </w:rPr>
            </w:pPr>
            <w:r>
              <w:rPr>
                <w:rFonts w:hint="eastAsia"/>
                <w:b/>
                <w:bCs/>
                <w:color w:val="auto"/>
                <w:highlight w:val="none"/>
              </w:rPr>
              <w:t>绩效指标</w:t>
            </w:r>
          </w:p>
        </w:tc>
        <w:tc>
          <w:tcPr>
            <w:tcW w:w="42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color w:val="auto"/>
                <w:sz w:val="24"/>
                <w:highlight w:val="none"/>
              </w:rPr>
            </w:pPr>
            <w:r>
              <w:rPr>
                <w:rFonts w:hint="eastAsia"/>
                <w:b/>
                <w:bCs/>
                <w:color w:val="auto"/>
                <w:highlight w:val="none"/>
              </w:rPr>
              <w:t>指标分值</w:t>
            </w:r>
          </w:p>
        </w:tc>
        <w:tc>
          <w:tcPr>
            <w:tcW w:w="3118"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color w:val="auto"/>
                <w:sz w:val="24"/>
                <w:highlight w:val="none"/>
              </w:rPr>
            </w:pPr>
            <w:r>
              <w:rPr>
                <w:rFonts w:hint="eastAsia"/>
                <w:b/>
                <w:bCs/>
                <w:color w:val="auto"/>
                <w:highlight w:val="none"/>
              </w:rPr>
              <w:t>指标解释</w:t>
            </w:r>
          </w:p>
        </w:tc>
        <w:tc>
          <w:tcPr>
            <w:tcW w:w="992" w:type="dxa"/>
            <w:vMerge w:val="restart"/>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b/>
                <w:bCs/>
                <w:color w:val="auto"/>
                <w:sz w:val="24"/>
                <w:highlight w:val="none"/>
              </w:rPr>
            </w:pPr>
            <w:r>
              <w:rPr>
                <w:rFonts w:hint="eastAsia"/>
                <w:b/>
                <w:bCs/>
                <w:color w:val="auto"/>
                <w:highlight w:val="none"/>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3" w:hRule="atLeast"/>
          <w:jc w:val="center"/>
        </w:trPr>
        <w:tc>
          <w:tcPr>
            <w:tcW w:w="1277" w:type="dxa"/>
            <w:tcBorders>
              <w:top w:val="nil"/>
              <w:left w:val="single" w:color="auto" w:sz="4" w:space="0"/>
              <w:bottom w:val="single" w:color="auto" w:sz="4" w:space="0"/>
              <w:right w:val="single" w:color="auto" w:sz="4" w:space="0"/>
            </w:tcBorders>
            <w:vAlign w:val="center"/>
          </w:tcPr>
          <w:p>
            <w:pPr>
              <w:jc w:val="center"/>
              <w:rPr>
                <w:rFonts w:ascii="宋体" w:hAnsi="宋体" w:cs="宋体"/>
                <w:b/>
                <w:bCs/>
                <w:color w:val="auto"/>
                <w:sz w:val="24"/>
                <w:highlight w:val="none"/>
              </w:rPr>
            </w:pPr>
            <w:r>
              <w:rPr>
                <w:rFonts w:hint="eastAsia"/>
                <w:b/>
                <w:bCs/>
                <w:color w:val="auto"/>
                <w:highlight w:val="none"/>
              </w:rPr>
              <w:t>一级指标</w:t>
            </w:r>
          </w:p>
        </w:tc>
        <w:tc>
          <w:tcPr>
            <w:tcW w:w="1134" w:type="dxa"/>
            <w:tcBorders>
              <w:top w:val="nil"/>
              <w:left w:val="nil"/>
              <w:bottom w:val="single" w:color="auto" w:sz="4" w:space="0"/>
              <w:right w:val="single" w:color="auto" w:sz="4" w:space="0"/>
            </w:tcBorders>
            <w:vAlign w:val="center"/>
          </w:tcPr>
          <w:p>
            <w:pPr>
              <w:jc w:val="center"/>
              <w:rPr>
                <w:rFonts w:ascii="宋体" w:hAnsi="宋体" w:cs="宋体"/>
                <w:b/>
                <w:bCs/>
                <w:color w:val="auto"/>
                <w:sz w:val="24"/>
                <w:highlight w:val="none"/>
              </w:rPr>
            </w:pPr>
            <w:r>
              <w:rPr>
                <w:rFonts w:hint="eastAsia"/>
                <w:b/>
                <w:bCs/>
                <w:color w:val="auto"/>
                <w:highlight w:val="none"/>
              </w:rPr>
              <w:t>二级指标</w:t>
            </w:r>
          </w:p>
        </w:tc>
        <w:tc>
          <w:tcPr>
            <w:tcW w:w="1983" w:type="dxa"/>
            <w:tcBorders>
              <w:top w:val="nil"/>
              <w:left w:val="nil"/>
              <w:bottom w:val="single" w:color="auto" w:sz="4" w:space="0"/>
              <w:right w:val="single" w:color="auto" w:sz="4" w:space="0"/>
            </w:tcBorders>
            <w:vAlign w:val="center"/>
          </w:tcPr>
          <w:p>
            <w:pPr>
              <w:jc w:val="center"/>
              <w:rPr>
                <w:rFonts w:ascii="宋体" w:hAnsi="宋体" w:cs="宋体"/>
                <w:b/>
                <w:bCs/>
                <w:color w:val="auto"/>
                <w:sz w:val="24"/>
                <w:highlight w:val="none"/>
              </w:rPr>
            </w:pPr>
            <w:r>
              <w:rPr>
                <w:rFonts w:hint="eastAsia"/>
                <w:b/>
                <w:bCs/>
                <w:color w:val="auto"/>
                <w:highlight w:val="none"/>
              </w:rPr>
              <w:t>三级指标</w:t>
            </w:r>
          </w:p>
        </w:tc>
        <w:tc>
          <w:tcPr>
            <w:tcW w:w="427"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color w:val="auto"/>
                <w:sz w:val="24"/>
                <w:highlight w:val="none"/>
              </w:rPr>
            </w:pPr>
          </w:p>
        </w:tc>
        <w:tc>
          <w:tcPr>
            <w:tcW w:w="3118"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color w:val="auto"/>
                <w:sz w:val="24"/>
                <w:highlight w:val="none"/>
              </w:rPr>
            </w:pPr>
          </w:p>
        </w:tc>
        <w:tc>
          <w:tcPr>
            <w:tcW w:w="992" w:type="dxa"/>
            <w:vMerge w:val="continue"/>
            <w:tcBorders>
              <w:top w:val="nil"/>
              <w:left w:val="single" w:color="auto" w:sz="4" w:space="0"/>
              <w:bottom w:val="single" w:color="000000" w:sz="4" w:space="0"/>
              <w:right w:val="single" w:color="auto" w:sz="4" w:space="0"/>
            </w:tcBorders>
            <w:vAlign w:val="center"/>
          </w:tcPr>
          <w:p>
            <w:pPr>
              <w:rPr>
                <w:rFonts w:ascii="宋体" w:hAnsi="宋体" w:cs="宋体"/>
                <w:b/>
                <w:bCs/>
                <w:color w:val="auto"/>
                <w:sz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5" w:hRule="atLeast"/>
          <w:jc w:val="center"/>
        </w:trPr>
        <w:tc>
          <w:tcPr>
            <w:tcW w:w="1277"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部门预算管理（80分）</w:t>
            </w:r>
          </w:p>
        </w:tc>
        <w:tc>
          <w:tcPr>
            <w:tcW w:w="1134"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预算编制（30分）</w:t>
            </w:r>
          </w:p>
        </w:tc>
        <w:tc>
          <w:tcPr>
            <w:tcW w:w="1983" w:type="dxa"/>
            <w:tcBorders>
              <w:top w:val="single" w:color="auto" w:sz="4" w:space="0"/>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目标制定</w:t>
            </w:r>
          </w:p>
        </w:tc>
        <w:tc>
          <w:tcPr>
            <w:tcW w:w="427"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10</w:t>
            </w:r>
          </w:p>
        </w:tc>
        <w:tc>
          <w:tcPr>
            <w:tcW w:w="3118" w:type="dxa"/>
            <w:tcBorders>
              <w:top w:val="nil"/>
              <w:left w:val="nil"/>
              <w:bottom w:val="single" w:color="auto" w:sz="4" w:space="0"/>
              <w:right w:val="single" w:color="auto" w:sz="4" w:space="0"/>
            </w:tcBorders>
            <w:vAlign w:val="center"/>
          </w:tcPr>
          <w:p>
            <w:pPr>
              <w:rPr>
                <w:rFonts w:ascii="宋体" w:hAnsi="宋体" w:cs="宋体"/>
                <w:color w:val="auto"/>
                <w:sz w:val="24"/>
                <w:highlight w:val="none"/>
              </w:rPr>
            </w:pPr>
            <w:r>
              <w:rPr>
                <w:rFonts w:hint="eastAsia"/>
                <w:color w:val="auto"/>
                <w:highlight w:val="none"/>
              </w:rPr>
              <w:t>评价部门绩效目标是否要素完整、细化量化。</w:t>
            </w:r>
          </w:p>
        </w:tc>
        <w:tc>
          <w:tcPr>
            <w:tcW w:w="992"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1"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134"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983"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目标完成</w:t>
            </w:r>
          </w:p>
        </w:tc>
        <w:tc>
          <w:tcPr>
            <w:tcW w:w="427"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10</w:t>
            </w:r>
          </w:p>
        </w:tc>
        <w:tc>
          <w:tcPr>
            <w:tcW w:w="3118" w:type="dxa"/>
            <w:tcBorders>
              <w:top w:val="nil"/>
              <w:left w:val="nil"/>
              <w:bottom w:val="single" w:color="auto" w:sz="4" w:space="0"/>
              <w:right w:val="single" w:color="auto" w:sz="4" w:space="0"/>
            </w:tcBorders>
            <w:vAlign w:val="center"/>
          </w:tcPr>
          <w:p>
            <w:pPr>
              <w:rPr>
                <w:rFonts w:ascii="宋体" w:hAnsi="宋体" w:cs="宋体"/>
                <w:color w:val="auto"/>
                <w:sz w:val="24"/>
                <w:highlight w:val="none"/>
              </w:rPr>
            </w:pPr>
            <w:r>
              <w:rPr>
                <w:rFonts w:hint="eastAsia"/>
                <w:color w:val="auto"/>
                <w:highlight w:val="none"/>
              </w:rPr>
              <w:t>评价部门绩效目标实际实现程度与预期目标的偏离度。</w:t>
            </w:r>
          </w:p>
        </w:tc>
        <w:tc>
          <w:tcPr>
            <w:tcW w:w="992"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1"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134"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983"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编制准确</w:t>
            </w:r>
          </w:p>
        </w:tc>
        <w:tc>
          <w:tcPr>
            <w:tcW w:w="427"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10</w:t>
            </w:r>
          </w:p>
        </w:tc>
        <w:tc>
          <w:tcPr>
            <w:tcW w:w="3118" w:type="dxa"/>
            <w:tcBorders>
              <w:top w:val="nil"/>
              <w:left w:val="nil"/>
              <w:bottom w:val="single" w:color="auto" w:sz="4" w:space="0"/>
              <w:right w:val="single" w:color="auto" w:sz="4" w:space="0"/>
            </w:tcBorders>
            <w:vAlign w:val="center"/>
          </w:tcPr>
          <w:p>
            <w:pPr>
              <w:rPr>
                <w:rFonts w:ascii="宋体" w:hAnsi="宋体" w:cs="宋体"/>
                <w:color w:val="auto"/>
                <w:sz w:val="24"/>
                <w:highlight w:val="none"/>
              </w:rPr>
            </w:pPr>
            <w:r>
              <w:rPr>
                <w:rFonts w:hint="eastAsia"/>
                <w:color w:val="auto"/>
                <w:highlight w:val="none"/>
              </w:rPr>
              <w:t>评价部门年初预算编制是否科学准确。</w:t>
            </w:r>
          </w:p>
        </w:tc>
        <w:tc>
          <w:tcPr>
            <w:tcW w:w="992"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8"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134"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 xml:space="preserve">                                                                             预算执行（30分）</w:t>
            </w:r>
          </w:p>
        </w:tc>
        <w:tc>
          <w:tcPr>
            <w:tcW w:w="1983"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支出控制</w:t>
            </w:r>
          </w:p>
        </w:tc>
        <w:tc>
          <w:tcPr>
            <w:tcW w:w="427"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10</w:t>
            </w:r>
          </w:p>
        </w:tc>
        <w:tc>
          <w:tcPr>
            <w:tcW w:w="3118" w:type="dxa"/>
            <w:tcBorders>
              <w:top w:val="nil"/>
              <w:left w:val="nil"/>
              <w:bottom w:val="single" w:color="auto" w:sz="4" w:space="0"/>
              <w:right w:val="single" w:color="auto" w:sz="4" w:space="0"/>
            </w:tcBorders>
            <w:vAlign w:val="center"/>
          </w:tcPr>
          <w:p>
            <w:pPr>
              <w:rPr>
                <w:rFonts w:ascii="宋体" w:hAnsi="宋体" w:cs="宋体"/>
                <w:color w:val="auto"/>
                <w:sz w:val="24"/>
                <w:highlight w:val="none"/>
              </w:rPr>
            </w:pPr>
            <w:r>
              <w:rPr>
                <w:rFonts w:hint="eastAsia"/>
                <w:color w:val="auto"/>
                <w:highlight w:val="none"/>
              </w:rPr>
              <w:t>部门公用经费及非定额公用支出控制情况。</w:t>
            </w:r>
          </w:p>
        </w:tc>
        <w:tc>
          <w:tcPr>
            <w:tcW w:w="992"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134"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auto"/>
                <w:sz w:val="24"/>
                <w:highlight w:val="none"/>
              </w:rPr>
            </w:pPr>
          </w:p>
        </w:tc>
        <w:tc>
          <w:tcPr>
            <w:tcW w:w="1983"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动态调整</w:t>
            </w:r>
          </w:p>
        </w:tc>
        <w:tc>
          <w:tcPr>
            <w:tcW w:w="427"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10</w:t>
            </w:r>
          </w:p>
        </w:tc>
        <w:tc>
          <w:tcPr>
            <w:tcW w:w="3118" w:type="dxa"/>
            <w:tcBorders>
              <w:top w:val="nil"/>
              <w:left w:val="nil"/>
              <w:bottom w:val="single" w:color="auto" w:sz="4" w:space="0"/>
              <w:right w:val="single" w:color="auto" w:sz="4" w:space="0"/>
            </w:tcBorders>
            <w:vAlign w:val="center"/>
          </w:tcPr>
          <w:p>
            <w:pPr>
              <w:rPr>
                <w:rFonts w:ascii="宋体" w:hAnsi="宋体" w:cs="宋体"/>
                <w:color w:val="auto"/>
                <w:sz w:val="24"/>
                <w:highlight w:val="none"/>
              </w:rPr>
            </w:pPr>
            <w:r>
              <w:rPr>
                <w:rFonts w:hint="eastAsia"/>
                <w:color w:val="auto"/>
                <w:highlight w:val="none"/>
              </w:rPr>
              <w:t>评价部门开展绩效运行监控后，将绩效监控结果应用到预算调整的情况。</w:t>
            </w:r>
          </w:p>
        </w:tc>
        <w:tc>
          <w:tcPr>
            <w:tcW w:w="992"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134"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auto"/>
                <w:sz w:val="24"/>
                <w:highlight w:val="none"/>
              </w:rPr>
            </w:pPr>
          </w:p>
        </w:tc>
        <w:tc>
          <w:tcPr>
            <w:tcW w:w="1983"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执行进度</w:t>
            </w:r>
          </w:p>
        </w:tc>
        <w:tc>
          <w:tcPr>
            <w:tcW w:w="427"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10</w:t>
            </w:r>
          </w:p>
        </w:tc>
        <w:tc>
          <w:tcPr>
            <w:tcW w:w="3118" w:type="dxa"/>
            <w:tcBorders>
              <w:top w:val="nil"/>
              <w:left w:val="nil"/>
              <w:bottom w:val="single" w:color="auto" w:sz="4" w:space="0"/>
              <w:right w:val="single" w:color="auto" w:sz="4" w:space="0"/>
            </w:tcBorders>
            <w:vAlign w:val="center"/>
          </w:tcPr>
          <w:p>
            <w:pPr>
              <w:rPr>
                <w:rFonts w:ascii="宋体" w:hAnsi="宋体" w:cs="宋体"/>
                <w:color w:val="auto"/>
                <w:sz w:val="24"/>
                <w:highlight w:val="none"/>
              </w:rPr>
            </w:pPr>
            <w:r>
              <w:rPr>
                <w:rFonts w:hint="eastAsia"/>
                <w:color w:val="auto"/>
                <w:highlight w:val="none"/>
              </w:rPr>
              <w:t>评价部门在6、9、11月的预算执行情况。</w:t>
            </w:r>
          </w:p>
        </w:tc>
        <w:tc>
          <w:tcPr>
            <w:tcW w:w="992"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134"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完成结果（20分）</w:t>
            </w:r>
          </w:p>
        </w:tc>
        <w:tc>
          <w:tcPr>
            <w:tcW w:w="1983"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预算完成</w:t>
            </w:r>
          </w:p>
        </w:tc>
        <w:tc>
          <w:tcPr>
            <w:tcW w:w="427"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10</w:t>
            </w:r>
          </w:p>
        </w:tc>
        <w:tc>
          <w:tcPr>
            <w:tcW w:w="3118" w:type="dxa"/>
            <w:tcBorders>
              <w:top w:val="nil"/>
              <w:left w:val="nil"/>
              <w:bottom w:val="single" w:color="auto" w:sz="4" w:space="0"/>
              <w:right w:val="single" w:color="auto" w:sz="4" w:space="0"/>
            </w:tcBorders>
            <w:vAlign w:val="center"/>
          </w:tcPr>
          <w:p>
            <w:pPr>
              <w:rPr>
                <w:rFonts w:ascii="宋体" w:hAnsi="宋体" w:cs="宋体"/>
                <w:color w:val="auto"/>
                <w:sz w:val="24"/>
                <w:highlight w:val="none"/>
              </w:rPr>
            </w:pPr>
            <w:r>
              <w:rPr>
                <w:rFonts w:hint="eastAsia"/>
                <w:color w:val="auto"/>
                <w:highlight w:val="none"/>
              </w:rPr>
              <w:t>评价部门预算项目年终预算执行情况。</w:t>
            </w:r>
          </w:p>
        </w:tc>
        <w:tc>
          <w:tcPr>
            <w:tcW w:w="992"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lang w:val="en-US" w:eastAsia="zh-CN"/>
              </w:rPr>
              <w:t>8</w:t>
            </w:r>
            <w:r>
              <w:rPr>
                <w:rFonts w:hint="eastAsia"/>
                <w:color w:val="auto"/>
                <w:highlight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134"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983"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违规记录</w:t>
            </w:r>
          </w:p>
        </w:tc>
        <w:tc>
          <w:tcPr>
            <w:tcW w:w="427"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rPr>
              <w:t>10</w:t>
            </w:r>
          </w:p>
        </w:tc>
        <w:tc>
          <w:tcPr>
            <w:tcW w:w="3118" w:type="dxa"/>
            <w:tcBorders>
              <w:top w:val="nil"/>
              <w:left w:val="nil"/>
              <w:bottom w:val="single" w:color="auto" w:sz="4" w:space="0"/>
              <w:right w:val="single" w:color="auto" w:sz="4" w:space="0"/>
            </w:tcBorders>
            <w:vAlign w:val="center"/>
          </w:tcPr>
          <w:p>
            <w:pPr>
              <w:rPr>
                <w:rFonts w:ascii="宋体" w:hAnsi="宋体" w:cs="宋体"/>
                <w:color w:val="auto"/>
                <w:sz w:val="24"/>
                <w:highlight w:val="none"/>
              </w:rPr>
            </w:pPr>
            <w:r>
              <w:rPr>
                <w:rFonts w:hint="eastAsia"/>
                <w:color w:val="auto"/>
                <w:highlight w:val="none"/>
              </w:rPr>
              <w:t>根据审计监督、财政检查结果反映部门上一年度部门预算管理是否合规。</w:t>
            </w:r>
          </w:p>
        </w:tc>
        <w:tc>
          <w:tcPr>
            <w:tcW w:w="992" w:type="dxa"/>
            <w:tcBorders>
              <w:top w:val="nil"/>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color w:val="auto"/>
                <w:highlight w:val="none"/>
                <w:lang w:val="en-US" w:eastAsia="zh-CN"/>
              </w:rPr>
              <w:t>10</w:t>
            </w:r>
            <w:r>
              <w:rPr>
                <w:rFonts w:hint="eastAsia"/>
                <w:color w:val="auto"/>
                <w:highlight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4" w:hRule="atLeast"/>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olor w:val="auto"/>
                <w:szCs w:val="21"/>
                <w:highlight w:val="none"/>
              </w:rPr>
              <w:t>绩效结果应用（10分）</w:t>
            </w:r>
          </w:p>
          <w:p>
            <w:pPr>
              <w:rPr>
                <w:rFonts w:ascii="宋体" w:hAnsi="宋体" w:cs="宋体"/>
                <w:color w:val="auto"/>
                <w:szCs w:val="21"/>
                <w:highlight w:val="none"/>
              </w:rPr>
            </w:pPr>
          </w:p>
        </w:tc>
        <w:tc>
          <w:tcPr>
            <w:tcW w:w="1134" w:type="dxa"/>
            <w:tcBorders>
              <w:top w:val="nil"/>
              <w:left w:val="nil"/>
              <w:bottom w:val="single" w:color="auto" w:sz="4" w:space="0"/>
              <w:right w:val="single" w:color="auto" w:sz="4" w:space="0"/>
            </w:tcBorders>
            <w:vAlign w:val="bottom"/>
          </w:tcPr>
          <w:p>
            <w:pPr>
              <w:rPr>
                <w:rFonts w:ascii="宋体" w:hAnsi="宋体" w:cs="宋体"/>
                <w:color w:val="auto"/>
                <w:szCs w:val="21"/>
                <w:highlight w:val="none"/>
              </w:rPr>
            </w:pPr>
            <w:r>
              <w:rPr>
                <w:rFonts w:hint="eastAsia"/>
                <w:color w:val="auto"/>
                <w:szCs w:val="21"/>
                <w:highlight w:val="none"/>
              </w:rPr>
              <w:t>信息公开（2分）</w:t>
            </w:r>
          </w:p>
        </w:tc>
        <w:tc>
          <w:tcPr>
            <w:tcW w:w="1983" w:type="dxa"/>
            <w:tcBorders>
              <w:top w:val="nil"/>
              <w:left w:val="nil"/>
              <w:bottom w:val="single" w:color="auto" w:sz="4" w:space="0"/>
              <w:right w:val="single" w:color="auto" w:sz="4" w:space="0"/>
            </w:tcBorders>
            <w:vAlign w:val="bottom"/>
          </w:tcPr>
          <w:p>
            <w:pPr>
              <w:jc w:val="center"/>
              <w:rPr>
                <w:rFonts w:ascii="宋体" w:hAnsi="宋体" w:cs="宋体"/>
                <w:color w:val="auto"/>
                <w:szCs w:val="21"/>
                <w:highlight w:val="none"/>
              </w:rPr>
            </w:pPr>
            <w:r>
              <w:rPr>
                <w:rFonts w:hint="eastAsia"/>
                <w:color w:val="auto"/>
                <w:szCs w:val="21"/>
                <w:highlight w:val="none"/>
              </w:rPr>
              <w:t>自评公开</w:t>
            </w:r>
          </w:p>
        </w:tc>
        <w:tc>
          <w:tcPr>
            <w:tcW w:w="427" w:type="dxa"/>
            <w:tcBorders>
              <w:top w:val="nil"/>
              <w:left w:val="nil"/>
              <w:bottom w:val="single" w:color="auto" w:sz="4" w:space="0"/>
              <w:right w:val="single" w:color="auto" w:sz="4" w:space="0"/>
            </w:tcBorders>
            <w:vAlign w:val="bottom"/>
          </w:tcPr>
          <w:p>
            <w:pPr>
              <w:jc w:val="center"/>
              <w:rPr>
                <w:color w:val="auto"/>
                <w:szCs w:val="21"/>
                <w:highlight w:val="none"/>
              </w:rPr>
            </w:pPr>
            <w:r>
              <w:rPr>
                <w:color w:val="auto"/>
                <w:szCs w:val="21"/>
                <w:highlight w:val="none"/>
              </w:rPr>
              <w:t>2</w:t>
            </w:r>
          </w:p>
        </w:tc>
        <w:tc>
          <w:tcPr>
            <w:tcW w:w="3118" w:type="dxa"/>
            <w:tcBorders>
              <w:top w:val="nil"/>
              <w:left w:val="nil"/>
              <w:bottom w:val="single" w:color="auto" w:sz="4" w:space="0"/>
              <w:right w:val="single" w:color="auto" w:sz="4" w:space="0"/>
            </w:tcBorders>
            <w:vAlign w:val="bottom"/>
          </w:tcPr>
          <w:p>
            <w:pPr>
              <w:rPr>
                <w:rFonts w:ascii="宋体" w:hAnsi="宋体" w:cs="宋体"/>
                <w:color w:val="auto"/>
                <w:szCs w:val="21"/>
                <w:highlight w:val="none"/>
              </w:rPr>
            </w:pPr>
            <w:r>
              <w:rPr>
                <w:rFonts w:hint="eastAsia"/>
                <w:color w:val="auto"/>
                <w:szCs w:val="21"/>
                <w:highlight w:val="none"/>
              </w:rPr>
              <w:t>评价部门是否按要求将部门整体绩效自评情况和自行组织的评价情况向社会公开。</w:t>
            </w:r>
          </w:p>
        </w:tc>
        <w:tc>
          <w:tcPr>
            <w:tcW w:w="992" w:type="dxa"/>
            <w:tcBorders>
              <w:top w:val="nil"/>
              <w:left w:val="nil"/>
              <w:bottom w:val="single" w:color="auto" w:sz="4" w:space="0"/>
              <w:right w:val="single" w:color="auto" w:sz="4" w:space="0"/>
            </w:tcBorders>
            <w:vAlign w:val="bottom"/>
          </w:tcPr>
          <w:p>
            <w:pPr>
              <w:rPr>
                <w:rFonts w:ascii="宋体" w:hAnsi="宋体" w:cs="宋体"/>
                <w:color w:val="auto"/>
                <w:szCs w:val="21"/>
                <w:highlight w:val="none"/>
              </w:rPr>
            </w:pPr>
            <w:r>
              <w:rPr>
                <w:rFonts w:hint="eastAsia"/>
                <w:color w:val="auto"/>
                <w:szCs w:val="21"/>
                <w:highlight w:val="none"/>
              </w:rPr>
              <w:t>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127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134" w:type="dxa"/>
            <w:vMerge w:val="restart"/>
            <w:tcBorders>
              <w:top w:val="nil"/>
              <w:left w:val="single" w:color="auto" w:sz="4" w:space="0"/>
              <w:bottom w:val="single" w:color="000000" w:sz="4" w:space="0"/>
              <w:right w:val="single" w:color="auto" w:sz="4" w:space="0"/>
            </w:tcBorders>
            <w:vAlign w:val="bottom"/>
          </w:tcPr>
          <w:p>
            <w:pPr>
              <w:jc w:val="center"/>
              <w:rPr>
                <w:color w:val="auto"/>
                <w:highlight w:val="none"/>
              </w:rPr>
            </w:pPr>
            <w:r>
              <w:rPr>
                <w:rFonts w:hint="eastAsia"/>
                <w:color w:val="auto"/>
                <w:highlight w:val="none"/>
              </w:rPr>
              <w:t>整改反馈（</w:t>
            </w:r>
            <w:r>
              <w:rPr>
                <w:color w:val="auto"/>
                <w:highlight w:val="none"/>
              </w:rPr>
              <w:t>8</w:t>
            </w:r>
            <w:r>
              <w:rPr>
                <w:rFonts w:hint="eastAsia"/>
                <w:color w:val="auto"/>
                <w:highlight w:val="none"/>
              </w:rPr>
              <w:t>分）</w:t>
            </w:r>
          </w:p>
        </w:tc>
        <w:tc>
          <w:tcPr>
            <w:tcW w:w="1983" w:type="dxa"/>
            <w:tcBorders>
              <w:top w:val="nil"/>
              <w:left w:val="nil"/>
              <w:bottom w:val="single" w:color="auto" w:sz="4" w:space="0"/>
              <w:right w:val="single" w:color="auto" w:sz="4" w:space="0"/>
            </w:tcBorders>
            <w:vAlign w:val="bottom"/>
          </w:tcPr>
          <w:p>
            <w:pPr>
              <w:jc w:val="center"/>
              <w:rPr>
                <w:color w:val="auto"/>
                <w:highlight w:val="none"/>
              </w:rPr>
            </w:pPr>
            <w:r>
              <w:rPr>
                <w:rFonts w:hint="eastAsia"/>
                <w:color w:val="auto"/>
                <w:highlight w:val="none"/>
              </w:rPr>
              <w:t>结果整改</w:t>
            </w:r>
          </w:p>
        </w:tc>
        <w:tc>
          <w:tcPr>
            <w:tcW w:w="427" w:type="dxa"/>
            <w:tcBorders>
              <w:top w:val="nil"/>
              <w:left w:val="nil"/>
              <w:bottom w:val="single" w:color="auto" w:sz="4" w:space="0"/>
              <w:right w:val="single" w:color="auto" w:sz="4" w:space="0"/>
            </w:tcBorders>
            <w:vAlign w:val="bottom"/>
          </w:tcPr>
          <w:p>
            <w:pPr>
              <w:jc w:val="center"/>
              <w:rPr>
                <w:rFonts w:ascii="宋体" w:hAnsi="宋体" w:cs="宋体"/>
                <w:color w:val="auto"/>
                <w:sz w:val="24"/>
                <w:highlight w:val="none"/>
              </w:rPr>
            </w:pPr>
            <w:r>
              <w:rPr>
                <w:color w:val="auto"/>
                <w:szCs w:val="21"/>
                <w:highlight w:val="none"/>
              </w:rPr>
              <w:t>4</w:t>
            </w:r>
          </w:p>
        </w:tc>
        <w:tc>
          <w:tcPr>
            <w:tcW w:w="3118" w:type="dxa"/>
            <w:tcBorders>
              <w:top w:val="nil"/>
              <w:left w:val="nil"/>
              <w:bottom w:val="single" w:color="auto" w:sz="4" w:space="0"/>
              <w:right w:val="single" w:color="auto" w:sz="4" w:space="0"/>
            </w:tcBorders>
            <w:vAlign w:val="bottom"/>
          </w:tcPr>
          <w:p>
            <w:pPr>
              <w:rPr>
                <w:rFonts w:ascii="宋体" w:hAnsi="宋体" w:cs="宋体"/>
                <w:color w:val="auto"/>
                <w:sz w:val="24"/>
                <w:highlight w:val="none"/>
              </w:rPr>
            </w:pPr>
            <w:r>
              <w:rPr>
                <w:rFonts w:hint="eastAsia"/>
                <w:color w:val="auto"/>
                <w:szCs w:val="21"/>
                <w:highlight w:val="none"/>
              </w:rPr>
              <w:t>评价部门根据绩效管理结果整改问题、完善政策、改进管理的情况。</w:t>
            </w:r>
          </w:p>
        </w:tc>
        <w:tc>
          <w:tcPr>
            <w:tcW w:w="992" w:type="dxa"/>
            <w:tcBorders>
              <w:top w:val="nil"/>
              <w:left w:val="nil"/>
              <w:bottom w:val="single" w:color="auto" w:sz="4" w:space="0"/>
              <w:right w:val="single" w:color="auto" w:sz="4" w:space="0"/>
            </w:tcBorders>
            <w:vAlign w:val="bottom"/>
          </w:tcPr>
          <w:p>
            <w:pPr>
              <w:rPr>
                <w:rFonts w:ascii="宋体" w:hAnsi="宋体" w:cs="宋体"/>
                <w:color w:val="auto"/>
                <w:sz w:val="24"/>
                <w:highlight w:val="none"/>
              </w:rPr>
            </w:pPr>
            <w:r>
              <w:rPr>
                <w:rFonts w:hint="eastAsia"/>
                <w:color w:val="auto"/>
                <w:szCs w:val="21"/>
                <w:highlight w:val="none"/>
              </w:rPr>
              <w:t>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3" w:hRule="atLeast"/>
          <w:jc w:val="center"/>
        </w:trPr>
        <w:tc>
          <w:tcPr>
            <w:tcW w:w="127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4"/>
                <w:highlight w:val="none"/>
              </w:rPr>
            </w:pPr>
          </w:p>
        </w:tc>
        <w:tc>
          <w:tcPr>
            <w:tcW w:w="1134" w:type="dxa"/>
            <w:vMerge w:val="continue"/>
            <w:tcBorders>
              <w:top w:val="nil"/>
              <w:left w:val="single" w:color="auto" w:sz="4" w:space="0"/>
              <w:bottom w:val="single" w:color="000000" w:sz="4" w:space="0"/>
              <w:right w:val="single" w:color="auto" w:sz="4" w:space="0"/>
            </w:tcBorders>
            <w:vAlign w:val="center"/>
          </w:tcPr>
          <w:p>
            <w:pPr>
              <w:jc w:val="center"/>
              <w:rPr>
                <w:color w:val="auto"/>
                <w:highlight w:val="none"/>
              </w:rPr>
            </w:pPr>
          </w:p>
        </w:tc>
        <w:tc>
          <w:tcPr>
            <w:tcW w:w="1983" w:type="dxa"/>
            <w:tcBorders>
              <w:top w:val="nil"/>
              <w:left w:val="nil"/>
              <w:bottom w:val="single" w:color="auto" w:sz="4" w:space="0"/>
              <w:right w:val="single" w:color="auto" w:sz="4" w:space="0"/>
            </w:tcBorders>
            <w:vAlign w:val="bottom"/>
          </w:tcPr>
          <w:p>
            <w:pPr>
              <w:jc w:val="center"/>
              <w:rPr>
                <w:color w:val="auto"/>
                <w:highlight w:val="none"/>
              </w:rPr>
            </w:pPr>
            <w:r>
              <w:rPr>
                <w:rFonts w:hint="eastAsia"/>
                <w:color w:val="auto"/>
                <w:highlight w:val="none"/>
              </w:rPr>
              <w:t>应用反馈</w:t>
            </w:r>
          </w:p>
        </w:tc>
        <w:tc>
          <w:tcPr>
            <w:tcW w:w="427" w:type="dxa"/>
            <w:tcBorders>
              <w:top w:val="nil"/>
              <w:left w:val="nil"/>
              <w:bottom w:val="single" w:color="auto" w:sz="4" w:space="0"/>
              <w:right w:val="single" w:color="auto" w:sz="4" w:space="0"/>
            </w:tcBorders>
            <w:vAlign w:val="bottom"/>
          </w:tcPr>
          <w:p>
            <w:pPr>
              <w:jc w:val="center"/>
              <w:rPr>
                <w:rFonts w:ascii="宋体" w:hAnsi="宋体" w:cs="宋体"/>
                <w:color w:val="auto"/>
                <w:sz w:val="24"/>
                <w:highlight w:val="none"/>
              </w:rPr>
            </w:pPr>
            <w:r>
              <w:rPr>
                <w:color w:val="auto"/>
                <w:szCs w:val="21"/>
                <w:highlight w:val="none"/>
              </w:rPr>
              <w:t>4</w:t>
            </w:r>
          </w:p>
        </w:tc>
        <w:tc>
          <w:tcPr>
            <w:tcW w:w="3118" w:type="dxa"/>
            <w:tcBorders>
              <w:top w:val="nil"/>
              <w:left w:val="nil"/>
              <w:bottom w:val="single" w:color="auto" w:sz="4" w:space="0"/>
              <w:right w:val="single" w:color="auto" w:sz="4" w:space="0"/>
            </w:tcBorders>
            <w:vAlign w:val="bottom"/>
          </w:tcPr>
          <w:p>
            <w:pPr>
              <w:rPr>
                <w:rFonts w:ascii="宋体" w:hAnsi="宋体" w:cs="宋体"/>
                <w:color w:val="auto"/>
                <w:sz w:val="24"/>
                <w:highlight w:val="none"/>
              </w:rPr>
            </w:pPr>
            <w:r>
              <w:rPr>
                <w:rFonts w:hint="eastAsia"/>
                <w:color w:val="auto"/>
                <w:szCs w:val="21"/>
                <w:highlight w:val="none"/>
              </w:rPr>
              <w:t>评价部门按要求及时向财政部门反馈结果应用情况。</w:t>
            </w:r>
          </w:p>
        </w:tc>
        <w:tc>
          <w:tcPr>
            <w:tcW w:w="992" w:type="dxa"/>
            <w:tcBorders>
              <w:top w:val="nil"/>
              <w:left w:val="nil"/>
              <w:bottom w:val="single" w:color="auto" w:sz="4" w:space="0"/>
              <w:right w:val="single" w:color="auto" w:sz="4" w:space="0"/>
            </w:tcBorders>
            <w:vAlign w:val="bottom"/>
          </w:tcPr>
          <w:p>
            <w:pPr>
              <w:rPr>
                <w:rFonts w:ascii="宋体" w:hAnsi="宋体" w:cs="宋体"/>
                <w:color w:val="auto"/>
                <w:sz w:val="24"/>
                <w:highlight w:val="none"/>
              </w:rPr>
            </w:pPr>
            <w:r>
              <w:rPr>
                <w:rFonts w:hint="eastAsia"/>
                <w:color w:val="auto"/>
                <w:szCs w:val="21"/>
                <w:highlight w:val="none"/>
              </w:rPr>
              <w:t>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9" w:hRule="atLeast"/>
          <w:jc w:val="center"/>
        </w:trPr>
        <w:tc>
          <w:tcPr>
            <w:tcW w:w="1277" w:type="dxa"/>
            <w:tcBorders>
              <w:top w:val="single" w:color="auto" w:sz="4" w:space="0"/>
              <w:left w:val="single" w:color="auto" w:sz="4" w:space="0"/>
              <w:bottom w:val="single" w:color="auto" w:sz="4" w:space="0"/>
              <w:right w:val="single" w:color="auto" w:sz="4" w:space="0"/>
            </w:tcBorders>
            <w:vAlign w:val="bottom"/>
          </w:tcPr>
          <w:p>
            <w:pPr>
              <w:rPr>
                <w:rFonts w:ascii="宋体" w:hAnsi="宋体" w:cs="宋体"/>
                <w:color w:val="auto"/>
                <w:sz w:val="24"/>
                <w:highlight w:val="none"/>
              </w:rPr>
            </w:pPr>
            <w:r>
              <w:rPr>
                <w:rFonts w:hint="eastAsia"/>
                <w:color w:val="auto"/>
                <w:highlight w:val="none"/>
              </w:rPr>
              <w:t>自评质量（10分）</w:t>
            </w:r>
          </w:p>
        </w:tc>
        <w:tc>
          <w:tcPr>
            <w:tcW w:w="1134" w:type="dxa"/>
            <w:tcBorders>
              <w:top w:val="nil"/>
              <w:left w:val="single" w:color="auto" w:sz="4" w:space="0"/>
              <w:bottom w:val="single" w:color="auto" w:sz="4" w:space="0"/>
              <w:right w:val="single" w:color="auto" w:sz="4" w:space="0"/>
            </w:tcBorders>
            <w:vAlign w:val="bottom"/>
          </w:tcPr>
          <w:p>
            <w:pPr>
              <w:jc w:val="center"/>
              <w:rPr>
                <w:rFonts w:ascii="宋体" w:hAnsi="宋体" w:cs="宋体"/>
                <w:color w:val="auto"/>
                <w:sz w:val="24"/>
                <w:highlight w:val="none"/>
              </w:rPr>
            </w:pPr>
            <w:r>
              <w:rPr>
                <w:rFonts w:hint="eastAsia"/>
                <w:color w:val="auto"/>
                <w:highlight w:val="none"/>
              </w:rPr>
              <w:t>自评质量（10分）</w:t>
            </w:r>
          </w:p>
        </w:tc>
        <w:tc>
          <w:tcPr>
            <w:tcW w:w="1983" w:type="dxa"/>
            <w:tcBorders>
              <w:top w:val="nil"/>
              <w:left w:val="nil"/>
              <w:bottom w:val="single" w:color="auto" w:sz="4" w:space="0"/>
              <w:right w:val="single" w:color="auto" w:sz="4" w:space="0"/>
            </w:tcBorders>
            <w:vAlign w:val="bottom"/>
          </w:tcPr>
          <w:p>
            <w:pPr>
              <w:jc w:val="center"/>
              <w:rPr>
                <w:rFonts w:ascii="宋体" w:hAnsi="宋体" w:cs="宋体"/>
                <w:color w:val="auto"/>
                <w:sz w:val="24"/>
                <w:highlight w:val="none"/>
              </w:rPr>
            </w:pPr>
            <w:r>
              <w:rPr>
                <w:rFonts w:hint="eastAsia"/>
                <w:color w:val="auto"/>
                <w:szCs w:val="21"/>
                <w:highlight w:val="none"/>
              </w:rPr>
              <w:t>自评准确</w:t>
            </w:r>
          </w:p>
        </w:tc>
        <w:tc>
          <w:tcPr>
            <w:tcW w:w="427" w:type="dxa"/>
            <w:tcBorders>
              <w:top w:val="nil"/>
              <w:left w:val="nil"/>
              <w:bottom w:val="single" w:color="auto" w:sz="4" w:space="0"/>
              <w:right w:val="single" w:color="auto" w:sz="4" w:space="0"/>
            </w:tcBorders>
            <w:vAlign w:val="bottom"/>
          </w:tcPr>
          <w:p>
            <w:pPr>
              <w:jc w:val="center"/>
              <w:rPr>
                <w:color w:val="auto"/>
                <w:szCs w:val="21"/>
                <w:highlight w:val="none"/>
              </w:rPr>
            </w:pPr>
            <w:r>
              <w:rPr>
                <w:color w:val="auto"/>
                <w:szCs w:val="21"/>
                <w:highlight w:val="none"/>
              </w:rPr>
              <w:t>10</w:t>
            </w:r>
          </w:p>
        </w:tc>
        <w:tc>
          <w:tcPr>
            <w:tcW w:w="3118" w:type="dxa"/>
            <w:tcBorders>
              <w:top w:val="nil"/>
              <w:left w:val="nil"/>
              <w:bottom w:val="single" w:color="auto" w:sz="4" w:space="0"/>
              <w:right w:val="single" w:color="auto" w:sz="4" w:space="0"/>
            </w:tcBorders>
            <w:vAlign w:val="bottom"/>
          </w:tcPr>
          <w:p>
            <w:pPr>
              <w:rPr>
                <w:color w:val="auto"/>
                <w:szCs w:val="21"/>
                <w:highlight w:val="none"/>
              </w:rPr>
            </w:pPr>
            <w:r>
              <w:rPr>
                <w:rFonts w:hint="eastAsia"/>
                <w:color w:val="auto"/>
                <w:szCs w:val="21"/>
                <w:highlight w:val="none"/>
              </w:rPr>
              <w:t>评价部门整体支出自评准确率。</w:t>
            </w:r>
          </w:p>
        </w:tc>
        <w:tc>
          <w:tcPr>
            <w:tcW w:w="992" w:type="dxa"/>
            <w:tcBorders>
              <w:top w:val="nil"/>
              <w:left w:val="nil"/>
              <w:bottom w:val="single" w:color="auto" w:sz="4" w:space="0"/>
              <w:right w:val="single" w:color="auto" w:sz="4" w:space="0"/>
              <w:tr2bl w:val="single" w:color="auto" w:sz="4" w:space="0"/>
            </w:tcBorders>
            <w:vAlign w:val="bottom"/>
          </w:tcPr>
          <w:p>
            <w:pPr>
              <w:jc w:val="center"/>
              <w:rPr>
                <w:rFonts w:ascii="宋体" w:hAnsi="宋体" w:cs="宋体"/>
                <w:color w:val="auto"/>
                <w:sz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8" w:hRule="atLeast"/>
          <w:jc w:val="center"/>
        </w:trPr>
        <w:tc>
          <w:tcPr>
            <w:tcW w:w="7939" w:type="dxa"/>
            <w:gridSpan w:val="5"/>
            <w:tcBorders>
              <w:top w:val="single" w:color="auto" w:sz="4" w:space="0"/>
              <w:left w:val="single" w:color="auto" w:sz="4" w:space="0"/>
              <w:bottom w:val="single" w:color="auto" w:sz="4" w:space="0"/>
              <w:right w:val="single" w:color="auto" w:sz="4" w:space="0"/>
            </w:tcBorders>
            <w:vAlign w:val="bottom"/>
          </w:tcPr>
          <w:p>
            <w:pPr>
              <w:jc w:val="center"/>
              <w:rPr>
                <w:color w:val="auto"/>
                <w:szCs w:val="21"/>
                <w:highlight w:val="none"/>
              </w:rPr>
            </w:pPr>
            <w:r>
              <w:rPr>
                <w:rFonts w:hint="eastAsia"/>
                <w:color w:val="auto"/>
                <w:szCs w:val="21"/>
                <w:highlight w:val="none"/>
              </w:rPr>
              <w:t>自评得分</w:t>
            </w:r>
          </w:p>
        </w:tc>
        <w:tc>
          <w:tcPr>
            <w:tcW w:w="992" w:type="dxa"/>
            <w:tcBorders>
              <w:top w:val="single" w:color="auto" w:sz="4" w:space="0"/>
              <w:left w:val="nil"/>
              <w:bottom w:val="single" w:color="auto" w:sz="4" w:space="0"/>
              <w:right w:val="single" w:color="auto" w:sz="4" w:space="0"/>
            </w:tcBorders>
            <w:vAlign w:val="bottom"/>
          </w:tcPr>
          <w:p>
            <w:pPr>
              <w:jc w:val="center"/>
              <w:rPr>
                <w:rFonts w:ascii="宋体" w:hAnsi="宋体" w:cs="宋体"/>
                <w:color w:val="auto"/>
                <w:sz w:val="24"/>
                <w:highlight w:val="none"/>
              </w:rPr>
            </w:pPr>
            <w:r>
              <w:rPr>
                <w:rFonts w:hint="eastAsia" w:ascii="宋体" w:hAnsi="宋体" w:cs="宋体"/>
                <w:color w:val="auto"/>
                <w:sz w:val="24"/>
                <w:highlight w:val="none"/>
              </w:rPr>
              <w:t>8</w:t>
            </w:r>
            <w:r>
              <w:rPr>
                <w:rFonts w:hint="eastAsia" w:ascii="宋体" w:hAnsi="宋体" w:cs="宋体"/>
                <w:color w:val="auto"/>
                <w:sz w:val="24"/>
                <w:highlight w:val="none"/>
                <w:lang w:val="en-US" w:eastAsia="zh-CN"/>
              </w:rPr>
              <w:t>0</w:t>
            </w:r>
          </w:p>
        </w:tc>
      </w:tr>
    </w:tbl>
    <w:p>
      <w:pPr>
        <w:spacing w:line="580" w:lineRule="exact"/>
        <w:rPr>
          <w:rFonts w:ascii="黑体" w:hAnsi="黑体" w:eastAsia="黑体"/>
          <w:color w:val="auto"/>
          <w:sz w:val="44"/>
          <w:szCs w:val="44"/>
          <w:highlight w:val="none"/>
        </w:rPr>
      </w:pPr>
      <w:bookmarkStart w:id="56" w:name="_Toc15396618"/>
    </w:p>
    <w:p>
      <w:pPr>
        <w:spacing w:line="580" w:lineRule="exact"/>
        <w:rPr>
          <w:rFonts w:ascii="黑体" w:hAnsi="黑体" w:eastAsia="黑体"/>
          <w:color w:val="auto"/>
          <w:sz w:val="44"/>
          <w:szCs w:val="44"/>
          <w:highlight w:val="none"/>
        </w:rPr>
      </w:pPr>
    </w:p>
    <w:p>
      <w:pPr>
        <w:spacing w:line="580" w:lineRule="exact"/>
        <w:rPr>
          <w:rFonts w:ascii="黑体" w:hAnsi="黑体" w:eastAsia="黑体"/>
          <w:color w:val="auto"/>
          <w:sz w:val="44"/>
          <w:szCs w:val="44"/>
          <w:highlight w:val="none"/>
        </w:rPr>
      </w:pPr>
    </w:p>
    <w:p>
      <w:pPr>
        <w:spacing w:line="580" w:lineRule="exact"/>
        <w:rPr>
          <w:rFonts w:ascii="黑体" w:hAnsi="黑体" w:eastAsia="黑体"/>
          <w:color w:val="auto"/>
          <w:sz w:val="44"/>
          <w:szCs w:val="44"/>
          <w:highlight w:val="none"/>
        </w:rPr>
      </w:pPr>
      <w:r>
        <w:rPr>
          <w:rFonts w:ascii="黑体" w:hAnsi="黑体" w:eastAsia="黑体"/>
          <w:color w:val="auto"/>
          <w:sz w:val="44"/>
          <w:szCs w:val="44"/>
          <w:highlight w:val="none"/>
        </w:rPr>
        <w:tab/>
      </w:r>
      <w:r>
        <w:rPr>
          <w:rFonts w:ascii="黑体" w:hAnsi="黑体" w:eastAsia="黑体"/>
          <w:color w:val="auto"/>
          <w:sz w:val="44"/>
          <w:szCs w:val="44"/>
          <w:highlight w:val="none"/>
        </w:rPr>
        <w:tab/>
      </w:r>
    </w:p>
    <w:p>
      <w:pPr>
        <w:spacing w:line="580" w:lineRule="exact"/>
        <w:rPr>
          <w:rFonts w:ascii="仿宋_GB2312" w:hAnsi="仿宋_GB2312" w:eastAsia="仿宋_GB2312" w:cs="仿宋_GB2312"/>
          <w:color w:val="auto"/>
          <w:sz w:val="32"/>
          <w:szCs w:val="32"/>
          <w:highlight w:val="none"/>
        </w:rPr>
      </w:pPr>
      <w:r>
        <w:rPr>
          <w:rFonts w:hint="eastAsia" w:ascii="黑体" w:hAnsi="黑体" w:eastAsia="黑体" w:cs="黑体"/>
          <w:color w:val="auto"/>
          <w:sz w:val="32"/>
          <w:szCs w:val="32"/>
          <w:highlight w:val="none"/>
        </w:rPr>
        <w:t>附件2</w:t>
      </w:r>
    </w:p>
    <w:p>
      <w:pPr>
        <w:spacing w:line="580" w:lineRule="exact"/>
        <w:ind w:firstLine="640" w:firstLineChars="200"/>
        <w:rPr>
          <w:rFonts w:ascii="仿宋_GB2312" w:hAnsi="仿宋_GB2312" w:eastAsia="仿宋_GB2312" w:cs="仿宋_GB2312"/>
          <w:color w:val="auto"/>
          <w:sz w:val="32"/>
          <w:szCs w:val="32"/>
          <w:highlight w:val="none"/>
        </w:rPr>
      </w:pPr>
    </w:p>
    <w:p>
      <w:pPr>
        <w:spacing w:line="600" w:lineRule="exact"/>
        <w:jc w:val="center"/>
        <w:rPr>
          <w:rFonts w:ascii="方正小标宋简体" w:hAnsi="宋体" w:eastAsia="方正小标宋简体"/>
          <w:color w:val="auto"/>
          <w:kern w:val="0"/>
          <w:sz w:val="44"/>
          <w:szCs w:val="44"/>
          <w:highlight w:val="none"/>
          <w:lang w:val="zh-CN"/>
        </w:rPr>
      </w:pPr>
      <w:r>
        <w:rPr>
          <w:rFonts w:hint="eastAsia" w:ascii="方正小标宋简体" w:hAnsi="宋体" w:eastAsia="方正小标宋简体"/>
          <w:color w:val="auto"/>
          <w:kern w:val="0"/>
          <w:sz w:val="44"/>
          <w:szCs w:val="44"/>
          <w:highlight w:val="none"/>
          <w:lang w:val="zh-CN"/>
        </w:rPr>
        <w:t>医疗服务能力提升（卫生人才培养）项目</w:t>
      </w:r>
    </w:p>
    <w:p>
      <w:pPr>
        <w:spacing w:line="600" w:lineRule="exact"/>
        <w:jc w:val="center"/>
        <w:rPr>
          <w:rFonts w:ascii="方正小标宋简体" w:hAnsi="宋体" w:eastAsia="方正小标宋简体"/>
          <w:color w:val="auto"/>
          <w:kern w:val="0"/>
          <w:sz w:val="44"/>
          <w:szCs w:val="44"/>
          <w:highlight w:val="none"/>
          <w:lang w:val="zh-CN"/>
        </w:rPr>
      </w:pPr>
      <w:r>
        <w:rPr>
          <w:rFonts w:hint="eastAsia" w:ascii="方正小标宋简体" w:hAnsi="宋体" w:eastAsia="方正小标宋简体"/>
          <w:color w:val="auto"/>
          <w:kern w:val="0"/>
          <w:sz w:val="44"/>
          <w:szCs w:val="44"/>
          <w:highlight w:val="none"/>
          <w:lang w:val="en-US" w:eastAsia="zh-CN"/>
        </w:rPr>
        <w:t>2020</w:t>
      </w:r>
      <w:r>
        <w:rPr>
          <w:rFonts w:hint="eastAsia" w:ascii="方正小标宋简体" w:hAnsi="宋体" w:eastAsia="方正小标宋简体"/>
          <w:color w:val="auto"/>
          <w:kern w:val="0"/>
          <w:sz w:val="44"/>
          <w:szCs w:val="44"/>
          <w:highlight w:val="none"/>
        </w:rPr>
        <w:t>年</w:t>
      </w:r>
      <w:r>
        <w:rPr>
          <w:rFonts w:hint="eastAsia" w:ascii="方正小标宋简体" w:hAnsi="宋体" w:eastAsia="方正小标宋简体"/>
          <w:color w:val="auto"/>
          <w:kern w:val="0"/>
          <w:sz w:val="44"/>
          <w:szCs w:val="44"/>
          <w:highlight w:val="none"/>
          <w:lang w:val="zh-CN"/>
        </w:rPr>
        <w:t>绩效评价报告</w:t>
      </w:r>
    </w:p>
    <w:p>
      <w:pPr>
        <w:spacing w:line="600" w:lineRule="exact"/>
        <w:rPr>
          <w:rFonts w:ascii="宋体" w:hAnsi="宋体"/>
          <w:color w:val="auto"/>
          <w:sz w:val="32"/>
          <w:szCs w:val="32"/>
          <w:highlight w:val="none"/>
          <w:lang w:val="zh-CN"/>
        </w:rPr>
      </w:pPr>
    </w:p>
    <w:p>
      <w:pPr>
        <w:adjustRightInd w:val="0"/>
        <w:snapToGrid w:val="0"/>
        <w:spacing w:line="600" w:lineRule="exact"/>
        <w:ind w:firstLine="720"/>
        <w:rPr>
          <w:rFonts w:ascii="黑体" w:hAnsi="宋体" w:eastAsia="黑体"/>
          <w:color w:val="auto"/>
          <w:sz w:val="32"/>
          <w:szCs w:val="32"/>
          <w:highlight w:val="none"/>
          <w:lang w:val="zh-CN"/>
        </w:rPr>
      </w:pPr>
      <w:r>
        <w:rPr>
          <w:rFonts w:hint="eastAsia" w:ascii="黑体" w:hAnsi="宋体" w:eastAsia="黑体"/>
          <w:color w:val="auto"/>
          <w:sz w:val="32"/>
          <w:szCs w:val="32"/>
          <w:highlight w:val="none"/>
        </w:rPr>
        <w:t>一、</w:t>
      </w:r>
      <w:r>
        <w:rPr>
          <w:rFonts w:hint="eastAsia" w:ascii="黑体" w:hAnsi="宋体" w:eastAsia="黑体"/>
          <w:color w:val="auto"/>
          <w:sz w:val="32"/>
          <w:szCs w:val="32"/>
          <w:highlight w:val="none"/>
          <w:lang w:val="zh-CN"/>
        </w:rPr>
        <w:t>项目概况</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（一）项目基本情况。</w:t>
      </w:r>
    </w:p>
    <w:p>
      <w:pPr>
        <w:adjustRightInd w:val="0"/>
        <w:snapToGrid w:val="0"/>
        <w:spacing w:line="600" w:lineRule="exact"/>
        <w:ind w:firstLine="720"/>
        <w:rPr>
          <w:rFonts w:hint="eastAsia" w:ascii="仿宋" w:hAnsi="仿宋" w:eastAsia="仿宋" w:cs="仿宋"/>
          <w:sz w:val="28"/>
          <w:szCs w:val="28"/>
          <w:lang w:val="zh-CN"/>
        </w:rPr>
      </w:pPr>
      <w:r>
        <w:rPr>
          <w:rFonts w:hint="eastAsia" w:ascii="仿宋" w:hAnsi="仿宋" w:eastAsia="仿宋" w:cs="仿宋"/>
          <w:color w:val="auto"/>
          <w:sz w:val="28"/>
          <w:szCs w:val="28"/>
          <w:lang w:val="en-US" w:eastAsia="zh-CN"/>
        </w:rPr>
        <w:t>2020年共</w:t>
      </w:r>
      <w:r>
        <w:rPr>
          <w:rFonts w:hint="eastAsia" w:ascii="仿宋" w:hAnsi="仿宋" w:eastAsia="仿宋" w:cs="仿宋"/>
          <w:color w:val="auto"/>
          <w:sz w:val="28"/>
          <w:szCs w:val="28"/>
          <w:lang w:eastAsia="zh-CN"/>
        </w:rPr>
        <w:t>收到</w:t>
      </w:r>
      <w:r>
        <w:rPr>
          <w:rFonts w:hint="eastAsia" w:ascii="仿宋" w:hAnsi="仿宋" w:eastAsia="仿宋" w:cs="仿宋"/>
          <w:color w:val="auto"/>
          <w:sz w:val="28"/>
          <w:szCs w:val="28"/>
        </w:rPr>
        <w:t>中央财政资金</w:t>
      </w:r>
      <w:r>
        <w:rPr>
          <w:rFonts w:hint="eastAsia" w:ascii="仿宋" w:hAnsi="仿宋" w:eastAsia="仿宋" w:cs="仿宋"/>
          <w:color w:val="auto"/>
          <w:sz w:val="28"/>
          <w:szCs w:val="28"/>
          <w:lang w:val="en-US" w:eastAsia="zh-CN"/>
        </w:rPr>
        <w:t>465万（由住院医师规范化培训（含公卫、专科医师）176.9万元和2019年住院医师规范化培训中央资金414万结转剩余资金部分288.1万元组成）。</w:t>
      </w:r>
      <w:r>
        <w:rPr>
          <w:rFonts w:hint="eastAsia" w:ascii="仿宋" w:hAnsi="仿宋" w:eastAsia="仿宋" w:cs="仿宋"/>
          <w:color w:val="auto"/>
          <w:sz w:val="28"/>
          <w:szCs w:val="28"/>
        </w:rPr>
        <w:t>每月按文件要求发放住培学员生活补助和教学实践活动经费。</w:t>
      </w:r>
      <w:r>
        <w:rPr>
          <w:rFonts w:hint="eastAsia" w:ascii="仿宋" w:hAnsi="仿宋" w:eastAsia="仿宋" w:cs="仿宋"/>
          <w:color w:val="auto"/>
          <w:sz w:val="28"/>
          <w:szCs w:val="28"/>
          <w:lang w:val="en-US" w:eastAsia="zh-CN"/>
        </w:rPr>
        <w:t>2020年共</w:t>
      </w:r>
      <w:r>
        <w:rPr>
          <w:rFonts w:hint="eastAsia" w:ascii="仿宋" w:hAnsi="仿宋" w:eastAsia="仿宋" w:cs="仿宋"/>
          <w:color w:val="auto"/>
          <w:sz w:val="28"/>
          <w:szCs w:val="28"/>
          <w:lang w:eastAsia="zh-CN"/>
        </w:rPr>
        <w:t>培养住院医师规范化培训学员</w:t>
      </w:r>
      <w:r>
        <w:rPr>
          <w:rFonts w:hint="eastAsia" w:ascii="仿宋" w:hAnsi="仿宋" w:eastAsia="仿宋" w:cs="仿宋"/>
          <w:color w:val="auto"/>
          <w:sz w:val="28"/>
          <w:szCs w:val="28"/>
          <w:lang w:val="en-US" w:eastAsia="zh-CN"/>
        </w:rPr>
        <w:t>168人。</w:t>
      </w:r>
      <w:r>
        <w:rPr>
          <w:rFonts w:hint="eastAsia" w:ascii="仿宋" w:hAnsi="仿宋" w:eastAsia="仿宋" w:cs="仿宋"/>
          <w:color w:val="auto"/>
          <w:sz w:val="28"/>
          <w:szCs w:val="28"/>
        </w:rPr>
        <w:t>截止20</w:t>
      </w:r>
      <w:r>
        <w:rPr>
          <w:rFonts w:hint="eastAsia" w:ascii="仿宋" w:hAnsi="仿宋" w:eastAsia="仿宋" w:cs="仿宋"/>
          <w:color w:val="auto"/>
          <w:sz w:val="28"/>
          <w:szCs w:val="28"/>
          <w:lang w:val="en-US" w:eastAsia="zh-CN"/>
        </w:rPr>
        <w:t>20</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12</w:t>
      </w:r>
      <w:r>
        <w:rPr>
          <w:rFonts w:hint="eastAsia" w:ascii="仿宋" w:hAnsi="仿宋" w:eastAsia="仿宋" w:cs="仿宋"/>
          <w:color w:val="auto"/>
          <w:sz w:val="28"/>
          <w:szCs w:val="28"/>
        </w:rPr>
        <w:t>月，已使用</w:t>
      </w:r>
      <w:r>
        <w:rPr>
          <w:rFonts w:hint="eastAsia" w:ascii="仿宋" w:hAnsi="仿宋" w:eastAsia="仿宋" w:cs="仿宋"/>
          <w:color w:val="auto"/>
          <w:sz w:val="28"/>
          <w:szCs w:val="28"/>
          <w:lang w:eastAsia="zh-CN"/>
        </w:rPr>
        <w:t>完毕，</w:t>
      </w:r>
      <w:r>
        <w:rPr>
          <w:rFonts w:hint="eastAsia" w:ascii="仿宋" w:hAnsi="仿宋" w:eastAsia="仿宋" w:cs="仿宋"/>
          <w:color w:val="auto"/>
          <w:sz w:val="28"/>
          <w:szCs w:val="28"/>
        </w:rPr>
        <w:t>资金执行率为</w:t>
      </w:r>
      <w:r>
        <w:rPr>
          <w:rFonts w:hint="eastAsia" w:ascii="仿宋" w:hAnsi="仿宋" w:eastAsia="仿宋" w:cs="仿宋"/>
          <w:color w:val="auto"/>
          <w:sz w:val="28"/>
          <w:szCs w:val="28"/>
          <w:lang w:val="en-US" w:eastAsia="zh-CN"/>
        </w:rPr>
        <w:t>100</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w:t>
      </w:r>
    </w:p>
    <w:p>
      <w:pPr>
        <w:adjustRightInd w:val="0"/>
        <w:snapToGrid w:val="0"/>
        <w:spacing w:line="600" w:lineRule="exact"/>
        <w:ind w:firstLine="720"/>
        <w:rPr>
          <w:rFonts w:hint="eastAsia" w:ascii="仿宋" w:hAnsi="仿宋" w:eastAsia="仿宋" w:cs="仿宋"/>
          <w:color w:val="000000"/>
          <w:sz w:val="28"/>
          <w:szCs w:val="28"/>
          <w:lang w:eastAsia="zh-CN"/>
        </w:rPr>
      </w:pPr>
      <w:r>
        <w:rPr>
          <w:rFonts w:hint="eastAsia" w:ascii="仿宋" w:hAnsi="仿宋" w:eastAsia="仿宋" w:cs="仿宋"/>
          <w:color w:val="000000"/>
          <w:kern w:val="0"/>
          <w:sz w:val="28"/>
          <w:szCs w:val="28"/>
        </w:rPr>
        <w:t>根据上级部门</w:t>
      </w:r>
      <w:r>
        <w:rPr>
          <w:rFonts w:hint="eastAsia" w:ascii="仿宋" w:hAnsi="仿宋" w:eastAsia="仿宋" w:cs="仿宋"/>
          <w:color w:val="000000"/>
          <w:kern w:val="0"/>
          <w:sz w:val="28"/>
          <w:szCs w:val="28"/>
          <w:lang w:eastAsia="zh-CN"/>
        </w:rPr>
        <w:t>资金文件要求，</w:t>
      </w:r>
      <w:r>
        <w:rPr>
          <w:rFonts w:hint="eastAsia" w:ascii="仿宋" w:hAnsi="仿宋" w:eastAsia="仿宋" w:cs="仿宋"/>
          <w:color w:val="000000"/>
          <w:kern w:val="0"/>
          <w:sz w:val="28"/>
          <w:szCs w:val="28"/>
        </w:rPr>
        <w:t>中央经费的80%用于学员待遇的发放</w:t>
      </w:r>
      <w:r>
        <w:rPr>
          <w:rFonts w:hint="eastAsia" w:ascii="仿宋" w:hAnsi="仿宋" w:eastAsia="仿宋" w:cs="仿宋"/>
          <w:color w:val="000000"/>
          <w:kern w:val="0"/>
          <w:sz w:val="28"/>
          <w:szCs w:val="28"/>
          <w:lang w:eastAsia="zh-CN"/>
        </w:rPr>
        <w:t>，</w:t>
      </w:r>
      <w:r>
        <w:rPr>
          <w:rFonts w:hint="eastAsia" w:ascii="仿宋" w:hAnsi="仿宋" w:eastAsia="仿宋" w:cs="仿宋"/>
          <w:color w:val="000000"/>
          <w:sz w:val="28"/>
          <w:szCs w:val="28"/>
        </w:rPr>
        <w:t>中央经费的20%用于</w:t>
      </w:r>
      <w:r>
        <w:rPr>
          <w:rFonts w:hint="eastAsia" w:ascii="仿宋" w:hAnsi="仿宋" w:eastAsia="仿宋" w:cs="仿宋"/>
          <w:color w:val="000000"/>
          <w:sz w:val="28"/>
          <w:szCs w:val="28"/>
          <w:lang w:eastAsia="zh-CN"/>
        </w:rPr>
        <w:t>支持基地</w:t>
      </w:r>
      <w:r>
        <w:rPr>
          <w:rFonts w:hint="eastAsia" w:ascii="仿宋" w:hAnsi="仿宋" w:eastAsia="仿宋" w:cs="仿宋"/>
          <w:color w:val="000000"/>
          <w:sz w:val="28"/>
          <w:szCs w:val="28"/>
        </w:rPr>
        <w:t>教学实践活动</w:t>
      </w:r>
      <w:r>
        <w:rPr>
          <w:rFonts w:hint="eastAsia" w:ascii="仿宋" w:hAnsi="仿宋" w:eastAsia="仿宋" w:cs="仿宋"/>
          <w:color w:val="000000"/>
          <w:sz w:val="28"/>
          <w:szCs w:val="28"/>
          <w:lang w:eastAsia="zh-CN"/>
        </w:rPr>
        <w:t>。</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（二）项目绩效目标。</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该项目主要是用于住院医师规范化、中药药人才培训项目。通过开展住院医师规范化培训工作，提高住院医师业务能力，为各级医疗机构输送中医药人才。</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（三）项目自评步骤及方法。</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医院成立了住院医师规范化培训指导委员会，对工作组进行了任务分工，制定了经费管理办法、任务实施进度。明确了经费使用渠道、使用范围、建立了专账、专人管理。</w:t>
      </w:r>
    </w:p>
    <w:p>
      <w:pPr>
        <w:adjustRightInd w:val="0"/>
        <w:snapToGrid w:val="0"/>
        <w:spacing w:line="600" w:lineRule="exact"/>
        <w:ind w:firstLine="720"/>
        <w:rPr>
          <w:rFonts w:ascii="黑体" w:hAnsi="宋体" w:eastAsia="黑体"/>
          <w:color w:val="auto"/>
          <w:sz w:val="32"/>
          <w:szCs w:val="32"/>
          <w:highlight w:val="none"/>
        </w:rPr>
      </w:pPr>
      <w:r>
        <w:rPr>
          <w:rFonts w:hint="eastAsia" w:ascii="黑体" w:hAnsi="宋体" w:eastAsia="黑体"/>
          <w:color w:val="auto"/>
          <w:sz w:val="32"/>
          <w:szCs w:val="32"/>
          <w:highlight w:val="none"/>
        </w:rPr>
        <w:t>二、项目资金申报及使用情况</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（一）项目资金申报及批复情况。</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基地每年根据基地容量和当年结业学员人数，核算招生计划，并向省中医药管理局报告审批。我基地根据当年招生计划及前</w:t>
      </w:r>
      <w:r>
        <w:rPr>
          <w:rFonts w:hint="eastAsia" w:ascii="仿宋" w:hAnsi="仿宋" w:eastAsia="仿宋" w:cs="仿宋"/>
          <w:color w:val="auto"/>
          <w:sz w:val="28"/>
          <w:szCs w:val="28"/>
          <w:lang w:val="en-US" w:eastAsia="zh-CN"/>
        </w:rPr>
        <w:t>2年在培学员数</w:t>
      </w:r>
      <w:r>
        <w:rPr>
          <w:rFonts w:hint="eastAsia" w:ascii="仿宋" w:hAnsi="仿宋" w:eastAsia="仿宋" w:cs="仿宋"/>
          <w:color w:val="auto"/>
          <w:sz w:val="28"/>
          <w:szCs w:val="28"/>
          <w:lang w:val="zh-CN" w:eastAsia="zh-CN"/>
        </w:rPr>
        <w:t>，按照</w:t>
      </w:r>
      <w:r>
        <w:rPr>
          <w:rFonts w:hint="eastAsia" w:ascii="仿宋" w:hAnsi="仿宋" w:eastAsia="仿宋" w:cs="仿宋"/>
          <w:color w:val="auto"/>
          <w:sz w:val="28"/>
          <w:szCs w:val="28"/>
          <w:lang w:val="en-US" w:eastAsia="zh-CN"/>
        </w:rPr>
        <w:t>3万/年每位学员</w:t>
      </w:r>
      <w:r>
        <w:rPr>
          <w:rFonts w:hint="eastAsia" w:ascii="仿宋" w:hAnsi="仿宋" w:eastAsia="仿宋" w:cs="仿宋"/>
          <w:color w:val="auto"/>
          <w:sz w:val="28"/>
          <w:szCs w:val="28"/>
          <w:lang w:val="zh-CN" w:eastAsia="zh-CN"/>
        </w:rPr>
        <w:t>申报项目资金。</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泸州市财政局根据泸市财社【</w:t>
      </w:r>
      <w:r>
        <w:rPr>
          <w:rFonts w:hint="eastAsia" w:ascii="仿宋" w:hAnsi="仿宋" w:eastAsia="仿宋" w:cs="仿宋"/>
          <w:color w:val="auto"/>
          <w:sz w:val="28"/>
          <w:szCs w:val="28"/>
          <w:lang w:val="en-US" w:eastAsia="zh-CN"/>
        </w:rPr>
        <w:t>2019】38号、川财社【2018】154号文件下达2019年医疗服务能力提升中央补助资金414万元，于2020年结转上年资金288.1万元；根据泸市财社【2019】90号、川财社【2019】55号文件下达2019年卫生健康中央补助资金176.9万元，于2020年结转上年资金176.9万元。</w:t>
      </w:r>
    </w:p>
    <w:p>
      <w:pPr>
        <w:adjustRightInd w:val="0"/>
        <w:snapToGrid w:val="0"/>
        <w:spacing w:line="600" w:lineRule="exact"/>
        <w:ind w:firstLine="720"/>
        <w:rPr>
          <w:rFonts w:ascii="仿宋_GB2312" w:hAnsi="宋体" w:eastAsia="仿宋_GB2312"/>
          <w:color w:val="auto"/>
          <w:sz w:val="32"/>
          <w:szCs w:val="32"/>
          <w:highlight w:val="none"/>
          <w:lang w:val="zh-CN"/>
        </w:rPr>
      </w:pPr>
      <w:r>
        <w:rPr>
          <w:rFonts w:hint="eastAsia" w:ascii="楷体_GB2312" w:hAnsi="宋体" w:eastAsia="楷体_GB2312"/>
          <w:b/>
          <w:color w:val="auto"/>
          <w:sz w:val="32"/>
          <w:szCs w:val="32"/>
          <w:highlight w:val="none"/>
          <w:lang w:val="zh-CN"/>
        </w:rPr>
        <w:t>（二）资金计划、到位及使用情况。</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1．资金计划。泸州市财政局根据泸市财社【</w:t>
      </w:r>
      <w:r>
        <w:rPr>
          <w:rFonts w:hint="eastAsia" w:ascii="仿宋" w:hAnsi="仿宋" w:eastAsia="仿宋" w:cs="仿宋"/>
          <w:color w:val="auto"/>
          <w:sz w:val="28"/>
          <w:szCs w:val="28"/>
          <w:lang w:val="en-US" w:eastAsia="zh-CN"/>
        </w:rPr>
        <w:t>2019】38号、川财社【2018】154号文件下达2019年医疗服务能力提升中央补助资金414万元，于2020年结转上年资金288.1万元；根据泸市财社【2019】90号、川财社【2019】55号文件下达2019年卫生健康中央补助资金176.9万元，于2020年结转上年资金176.9万元。</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2．资金到位。泸州市财政局于</w:t>
      </w:r>
      <w:r>
        <w:rPr>
          <w:rFonts w:hint="eastAsia" w:ascii="仿宋" w:hAnsi="仿宋" w:eastAsia="仿宋" w:cs="仿宋"/>
          <w:color w:val="auto"/>
          <w:sz w:val="28"/>
          <w:szCs w:val="28"/>
          <w:lang w:val="en-US" w:eastAsia="zh-CN"/>
        </w:rPr>
        <w:t>2020年4月16日下达大平台金额为176.9万元，到位率100%；2020年1月10日下达资金135万元，到位率46.86%，于2020年4月16日下达资金153.1万元，到位率100%。</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3．资金使用。</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每月按文件要求发放住培学员生活补助和教学实践活动经费。</w:t>
      </w:r>
      <w:r>
        <w:rPr>
          <w:rFonts w:hint="eastAsia" w:ascii="仿宋" w:hAnsi="仿宋" w:eastAsia="仿宋" w:cs="仿宋"/>
          <w:color w:val="auto"/>
          <w:sz w:val="28"/>
          <w:szCs w:val="28"/>
          <w:lang w:val="en-US" w:eastAsia="zh-CN"/>
        </w:rPr>
        <w:t>截止2020年12月底资金已全部使用完毕。</w:t>
      </w:r>
      <w:r>
        <w:rPr>
          <w:rFonts w:hint="eastAsia" w:ascii="仿宋" w:hAnsi="仿宋" w:eastAsia="仿宋" w:cs="仿宋"/>
          <w:color w:val="auto"/>
          <w:sz w:val="28"/>
          <w:szCs w:val="28"/>
          <w:lang w:val="zh-CN" w:eastAsia="zh-CN"/>
        </w:rPr>
        <w:t>支付依据合规合法，资金支付与预算相符。</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（三）项目财务管理情况。</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我单位下发了《泸州市中医医院关于住院医师规培基地经费使用方案的通知》、《泸州市中医医院住院医师规范化培训专项资金管理办法（暂行）》，建立专帐，专款专用进行使用管理。财务管理制度健全，严格执行财务管理制度，账务处理及时，会计核算规范。</w:t>
      </w:r>
    </w:p>
    <w:p>
      <w:pPr>
        <w:adjustRightInd w:val="0"/>
        <w:snapToGrid w:val="0"/>
        <w:spacing w:line="600" w:lineRule="exact"/>
        <w:ind w:firstLine="720"/>
        <w:rPr>
          <w:rFonts w:ascii="黑体" w:hAnsi="宋体" w:eastAsia="黑体"/>
          <w:color w:val="auto"/>
          <w:sz w:val="32"/>
          <w:szCs w:val="32"/>
          <w:highlight w:val="none"/>
        </w:rPr>
      </w:pPr>
      <w:r>
        <w:rPr>
          <w:rFonts w:hint="eastAsia" w:ascii="黑体" w:hAnsi="宋体" w:eastAsia="黑体"/>
          <w:color w:val="auto"/>
          <w:sz w:val="32"/>
          <w:szCs w:val="32"/>
          <w:highlight w:val="none"/>
        </w:rPr>
        <w:t>三、项目实施及管理情况</w:t>
      </w:r>
    </w:p>
    <w:p>
      <w:pPr>
        <w:adjustRightInd w:val="0"/>
        <w:snapToGrid w:val="0"/>
        <w:spacing w:line="600" w:lineRule="exact"/>
        <w:ind w:firstLine="720"/>
        <w:rPr>
          <w:rFonts w:hint="eastAsia"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（一）项目组织架构及实施流程。</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1、项目组织构架</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（1）、项目经费管理领导小组</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组  长：郑海三</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 xml:space="preserve">副组长：王万芳、薛成后 </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成  员：潘登、韦波</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（2）、项目经费管理办公室</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领导小组下设办公室挂靠继教科并负责执行日常管理工作。主任由潘登担任，成员为陈丽、陈诗。</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2、项目实施流程</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（1）专项资金根据项目用途，按照统一分配，分级管理，专款专用，追踪问效的原则进行分配、管理、使用和考核。</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（2）专项资金纳入医院财务科统一管理，实行专户或专帐核算。</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（3）医院统一负责项目实施和资金使用。主要领导负主要责任，分管领导负直接责任。明确项目执行人员，项目执行人员应全面执行项目实施方案，完成项目任务，实现工作目标。</w:t>
      </w:r>
    </w:p>
    <w:p>
      <w:pPr>
        <w:ind w:firstLine="630"/>
        <w:rPr>
          <w:rFonts w:hint="eastAsia" w:ascii="仿宋" w:hAnsi="仿宋" w:eastAsia="仿宋" w:cs="仿宋"/>
          <w:color w:val="auto"/>
          <w:sz w:val="28"/>
          <w:szCs w:val="28"/>
          <w:lang w:val="zh-CN" w:eastAsia="zh-CN"/>
        </w:rPr>
      </w:pPr>
      <w:r>
        <w:rPr>
          <w:rFonts w:hint="eastAsia" w:ascii="楷体_GB2312" w:hAnsi="宋体" w:eastAsia="楷体_GB2312"/>
          <w:b/>
          <w:color w:val="auto"/>
          <w:sz w:val="32"/>
          <w:szCs w:val="32"/>
          <w:highlight w:val="none"/>
          <w:lang w:val="zh-CN"/>
        </w:rPr>
        <w:t>（二）项目管理情况。</w:t>
      </w:r>
      <w:r>
        <w:rPr>
          <w:rFonts w:hint="eastAsia" w:ascii="仿宋" w:hAnsi="仿宋" w:eastAsia="仿宋" w:cs="仿宋"/>
          <w:color w:val="auto"/>
          <w:sz w:val="28"/>
          <w:szCs w:val="28"/>
          <w:lang w:val="zh-CN" w:eastAsia="zh-CN"/>
        </w:rPr>
        <w:t>我单位下发了《泸州市中医医院关于住院医师规培基地经费使用方案的通知》《泸州市中医医院住院医师规范化培训专项资金管理办法（暂行）》。主要领导负主要责任，分管领导负直接责任，专项资金根据项目用途，按照统一分配，分级管理，专款专用，追踪问效的原则进行分配、管理、使用和考核。</w:t>
      </w:r>
    </w:p>
    <w:p>
      <w:pPr>
        <w:ind w:firstLine="630"/>
        <w:rPr>
          <w:rFonts w:hint="eastAsia" w:ascii="仿宋" w:hAnsi="仿宋" w:eastAsia="仿宋" w:cs="仿宋"/>
          <w:color w:val="auto"/>
          <w:sz w:val="28"/>
          <w:szCs w:val="28"/>
          <w:lang w:val="zh-CN" w:eastAsia="zh-CN"/>
        </w:rPr>
      </w:pPr>
      <w:r>
        <w:rPr>
          <w:rFonts w:hint="eastAsia" w:ascii="楷体_GB2312" w:hAnsi="宋体" w:eastAsia="楷体_GB2312"/>
          <w:b/>
          <w:color w:val="auto"/>
          <w:sz w:val="32"/>
          <w:szCs w:val="32"/>
          <w:highlight w:val="none"/>
          <w:lang w:val="zh-CN"/>
        </w:rPr>
        <w:t>（三）项目监管情况。</w:t>
      </w:r>
      <w:r>
        <w:rPr>
          <w:rFonts w:hint="eastAsia" w:ascii="仿宋" w:hAnsi="仿宋" w:eastAsia="仿宋" w:cs="仿宋"/>
          <w:color w:val="auto"/>
          <w:sz w:val="28"/>
          <w:szCs w:val="28"/>
          <w:lang w:val="zh-CN" w:eastAsia="zh-CN"/>
        </w:rPr>
        <w:t>项目管理部门全面执行项目实施方案，完成项目任务，实现工作目标；按要求报送项目实施的资金使用进度统计报表，按照项目实施方案规范使用资金，提供的经费报账资料应真实、有效，负责项目绩效考评。</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项目实施方案明确项目目标、范围、内容、任务、执行时间、资金管理、组织管理措施和监督评估要求。规范使用项目资金，保障项目资金安全和合理有效使用；遵循“专款专用、单独核算”的原则，对项目资金单独设立账户和专帐，按年度、项目、资金类别等进行总分类核算和对明细分类核算。</w:t>
      </w:r>
    </w:p>
    <w:p>
      <w:pPr>
        <w:adjustRightInd w:val="0"/>
        <w:snapToGrid w:val="0"/>
        <w:spacing w:line="600" w:lineRule="exact"/>
        <w:ind w:firstLine="720"/>
        <w:rPr>
          <w:rFonts w:ascii="仿宋_GB2312" w:hAnsi="宋体" w:eastAsia="仿宋_GB2312"/>
          <w:color w:val="auto"/>
          <w:sz w:val="32"/>
          <w:szCs w:val="32"/>
          <w:highlight w:val="none"/>
          <w:lang w:val="zh-CN"/>
        </w:rPr>
      </w:pPr>
      <w:r>
        <w:rPr>
          <w:rFonts w:hint="eastAsia" w:ascii="黑体" w:hAnsi="宋体" w:eastAsia="黑体"/>
          <w:color w:val="auto"/>
          <w:sz w:val="32"/>
          <w:szCs w:val="32"/>
          <w:highlight w:val="none"/>
        </w:rPr>
        <w:t>四、项目绩效情况</w:t>
      </w:r>
      <w:r>
        <w:rPr>
          <w:rFonts w:hint="eastAsia" w:ascii="仿宋_GB2312" w:hAnsi="宋体" w:eastAsia="仿宋_GB2312"/>
          <w:color w:val="auto"/>
          <w:sz w:val="32"/>
          <w:szCs w:val="32"/>
          <w:highlight w:val="none"/>
          <w:lang w:val="zh-CN"/>
        </w:rPr>
        <w:tab/>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（一）项目完成情况。</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我单位开展住院医师规范化培，培养了卫生健康人才16</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val="zh-CN" w:eastAsia="zh-CN"/>
        </w:rPr>
        <w:t>人，提高医疗服务能力。按文件要求发放住培学员生活补助和教学实践活动经费。</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（二）项目效益情况。</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社会效益方面：保障住培学员待遇，提高住培学员培训的积极性，为各级医疗机构输送中医药人才。</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可持续影响方面：人员素质明显提高，服务能力显著提升，将持续为医疗事业作贡献。</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满意度方面：学员满意度、社会满意度、使用单位满意度均达到8</w:t>
      </w:r>
      <w:r>
        <w:rPr>
          <w:rFonts w:hint="eastAsia" w:ascii="仿宋" w:hAnsi="仿宋" w:eastAsia="仿宋" w:cs="仿宋"/>
          <w:color w:val="auto"/>
          <w:sz w:val="28"/>
          <w:szCs w:val="28"/>
          <w:lang w:val="en-US" w:eastAsia="zh-CN"/>
        </w:rPr>
        <w:t>0</w:t>
      </w:r>
      <w:r>
        <w:rPr>
          <w:rFonts w:hint="eastAsia" w:ascii="仿宋" w:hAnsi="仿宋" w:eastAsia="仿宋" w:cs="仿宋"/>
          <w:color w:val="auto"/>
          <w:sz w:val="28"/>
          <w:szCs w:val="28"/>
          <w:lang w:val="zh-CN" w:eastAsia="zh-CN"/>
        </w:rPr>
        <w:t>%以上。</w:t>
      </w:r>
    </w:p>
    <w:p>
      <w:pPr>
        <w:adjustRightInd w:val="0"/>
        <w:snapToGrid w:val="0"/>
        <w:spacing w:line="600" w:lineRule="exact"/>
        <w:ind w:firstLine="720"/>
        <w:rPr>
          <w:rFonts w:ascii="黑体" w:hAnsi="宋体" w:eastAsia="黑体"/>
          <w:color w:val="auto"/>
          <w:sz w:val="32"/>
          <w:szCs w:val="32"/>
          <w:highlight w:val="none"/>
        </w:rPr>
      </w:pPr>
      <w:r>
        <w:rPr>
          <w:rFonts w:hint="eastAsia" w:ascii="黑体" w:hAnsi="宋体" w:eastAsia="黑体"/>
          <w:color w:val="auto"/>
          <w:sz w:val="32"/>
          <w:szCs w:val="32"/>
          <w:highlight w:val="none"/>
        </w:rPr>
        <w:t>五、评价结论及建议</w:t>
      </w:r>
    </w:p>
    <w:p>
      <w:pPr>
        <w:adjustRightInd w:val="0"/>
        <w:snapToGrid w:val="0"/>
        <w:spacing w:line="600" w:lineRule="exact"/>
        <w:ind w:firstLine="720"/>
        <w:rPr>
          <w:rFonts w:hint="eastAsia"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（一）评价结论。</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我单位制定了《泸州市中医医院关于调整规范化培训学员有关待遇的通知》、《泸州市中医医院关于调整住院医师规范化培训教学实践经费管理办法的通知》、《泸州市中医医院关于住院医师规培基地经费使用方案的通知》、《泸州市中医医院住院医师规范化培训专项资金管理办法（暂行）》相关规定，规范项目资金的使用。</w:t>
      </w:r>
    </w:p>
    <w:p>
      <w:pPr>
        <w:ind w:firstLine="630"/>
        <w:rPr>
          <w:rFonts w:ascii="楷体_GB2312" w:hAnsi="宋体" w:eastAsia="楷体_GB2312"/>
          <w:b/>
          <w:color w:val="auto"/>
          <w:sz w:val="32"/>
          <w:szCs w:val="32"/>
          <w:highlight w:val="none"/>
          <w:lang w:val="zh-CN"/>
        </w:rPr>
      </w:pPr>
      <w:r>
        <w:rPr>
          <w:rFonts w:hint="eastAsia" w:ascii="仿宋" w:hAnsi="仿宋" w:eastAsia="仿宋" w:cs="仿宋"/>
          <w:color w:val="auto"/>
          <w:sz w:val="28"/>
          <w:szCs w:val="28"/>
          <w:lang w:val="zh-CN" w:eastAsia="zh-CN"/>
        </w:rPr>
        <w:t>我单位开展卫生健康人才培养，为医院储备人才，为基层单位培养、输送人才。</w:t>
      </w:r>
    </w:p>
    <w:p>
      <w:pPr>
        <w:adjustRightInd w:val="0"/>
        <w:snapToGrid w:val="0"/>
        <w:spacing w:line="600" w:lineRule="exact"/>
        <w:ind w:firstLine="720"/>
        <w:rPr>
          <w:rFonts w:hint="eastAsia"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（二）存在的问题。</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1、我单位在开展住院医师规范化培训过程中，学员考研、退培导致培训人员减少。</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2、教学实践活动经费少。</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（三）相关建议。</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1、我单位尽量出台相关政策，约束学员少违约；</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2、我单位加大教学实践活动经费的投入，调整执行标准。</w:t>
      </w:r>
    </w:p>
    <w:p>
      <w:pPr>
        <w:ind w:firstLine="630"/>
        <w:rPr>
          <w:rFonts w:hint="eastAsia" w:ascii="黑体" w:hAnsi="黑体" w:eastAsia="黑体"/>
          <w:color w:val="auto"/>
          <w:sz w:val="44"/>
          <w:szCs w:val="44"/>
          <w:highlight w:val="none"/>
        </w:rPr>
      </w:pPr>
      <w:r>
        <w:rPr>
          <w:rFonts w:hint="eastAsia" w:ascii="仿宋" w:hAnsi="仿宋" w:eastAsia="仿宋" w:cs="仿宋"/>
          <w:color w:val="auto"/>
          <w:sz w:val="28"/>
          <w:szCs w:val="28"/>
          <w:lang w:val="zh-CN" w:eastAsia="zh-CN"/>
        </w:rPr>
        <w:t>3、申请省、市级财政部门加大投入。</w:t>
      </w:r>
    </w:p>
    <w:p>
      <w:pPr>
        <w:spacing w:line="580" w:lineRule="exact"/>
        <w:rPr>
          <w:rFonts w:ascii="仿宋_GB2312" w:hAnsi="仿宋_GB2312" w:eastAsia="仿宋_GB2312" w:cs="仿宋_GB2312"/>
          <w:color w:val="auto"/>
          <w:sz w:val="32"/>
          <w:szCs w:val="32"/>
          <w:highlight w:val="none"/>
        </w:rPr>
      </w:pPr>
      <w:r>
        <w:rPr>
          <w:rFonts w:hint="eastAsia" w:ascii="黑体" w:hAnsi="黑体" w:eastAsia="黑体" w:cs="黑体"/>
          <w:color w:val="auto"/>
          <w:sz w:val="32"/>
          <w:szCs w:val="32"/>
          <w:highlight w:val="none"/>
        </w:rPr>
        <w:t>附件</w:t>
      </w:r>
      <w:r>
        <w:rPr>
          <w:rFonts w:ascii="黑体" w:hAnsi="黑体" w:eastAsia="黑体" w:cs="黑体"/>
          <w:color w:val="auto"/>
          <w:sz w:val="32"/>
          <w:szCs w:val="32"/>
          <w:highlight w:val="none"/>
        </w:rPr>
        <w:t>2</w:t>
      </w:r>
    </w:p>
    <w:p>
      <w:pPr>
        <w:spacing w:line="580" w:lineRule="exact"/>
        <w:ind w:firstLine="640" w:firstLineChars="200"/>
        <w:rPr>
          <w:rFonts w:ascii="仿宋_GB2312" w:hAnsi="仿宋_GB2312" w:eastAsia="仿宋_GB2312" w:cs="仿宋_GB2312"/>
          <w:color w:val="auto"/>
          <w:sz w:val="32"/>
          <w:szCs w:val="32"/>
          <w:highlight w:val="none"/>
        </w:rPr>
      </w:pPr>
    </w:p>
    <w:p>
      <w:pPr>
        <w:spacing w:line="600" w:lineRule="exact"/>
        <w:jc w:val="center"/>
        <w:rPr>
          <w:rFonts w:hint="eastAsia" w:ascii="方正小标宋简体" w:hAnsi="宋体" w:eastAsia="方正小标宋简体"/>
          <w:color w:val="auto"/>
          <w:kern w:val="0"/>
          <w:sz w:val="44"/>
          <w:szCs w:val="44"/>
          <w:highlight w:val="none"/>
          <w:lang w:val="zh-CN"/>
        </w:rPr>
      </w:pPr>
      <w:r>
        <w:rPr>
          <w:rFonts w:hint="eastAsia" w:ascii="方正小标宋简体" w:hAnsi="宋体" w:eastAsia="方正小标宋简体"/>
          <w:color w:val="auto"/>
          <w:kern w:val="0"/>
          <w:sz w:val="44"/>
          <w:szCs w:val="44"/>
          <w:highlight w:val="none"/>
          <w:lang w:val="zh-CN"/>
        </w:rPr>
        <w:t>定向补助项目</w:t>
      </w:r>
    </w:p>
    <w:p>
      <w:pPr>
        <w:spacing w:line="600" w:lineRule="exact"/>
        <w:jc w:val="center"/>
        <w:rPr>
          <w:rFonts w:ascii="方正小标宋简体" w:hAnsi="宋体" w:eastAsia="方正小标宋简体"/>
          <w:color w:val="auto"/>
          <w:kern w:val="0"/>
          <w:sz w:val="44"/>
          <w:szCs w:val="44"/>
          <w:highlight w:val="none"/>
          <w:lang w:val="zh-CN"/>
        </w:rPr>
      </w:pPr>
      <w:r>
        <w:rPr>
          <w:rFonts w:ascii="方正小标宋简体" w:hAnsi="宋体" w:eastAsia="方正小标宋简体"/>
          <w:color w:val="auto"/>
          <w:kern w:val="0"/>
          <w:sz w:val="44"/>
          <w:szCs w:val="44"/>
          <w:highlight w:val="none"/>
        </w:rPr>
        <w:t>2020</w:t>
      </w:r>
      <w:r>
        <w:rPr>
          <w:rFonts w:hint="eastAsia" w:ascii="方正小标宋简体" w:hAnsi="宋体" w:eastAsia="方正小标宋简体"/>
          <w:color w:val="auto"/>
          <w:kern w:val="0"/>
          <w:sz w:val="44"/>
          <w:szCs w:val="44"/>
          <w:highlight w:val="none"/>
        </w:rPr>
        <w:t>年</w:t>
      </w:r>
      <w:r>
        <w:rPr>
          <w:rFonts w:hint="eastAsia" w:ascii="方正小标宋简体" w:hAnsi="宋体" w:eastAsia="方正小标宋简体"/>
          <w:color w:val="auto"/>
          <w:kern w:val="0"/>
          <w:sz w:val="44"/>
          <w:szCs w:val="44"/>
          <w:highlight w:val="none"/>
          <w:lang w:val="zh-CN"/>
        </w:rPr>
        <w:t>绩效评价报告</w:t>
      </w:r>
    </w:p>
    <w:p>
      <w:pPr>
        <w:spacing w:line="600" w:lineRule="exact"/>
        <w:rPr>
          <w:rFonts w:ascii="宋体"/>
          <w:color w:val="auto"/>
          <w:sz w:val="32"/>
          <w:szCs w:val="32"/>
          <w:highlight w:val="none"/>
          <w:lang w:val="zh-CN"/>
        </w:rPr>
      </w:pPr>
    </w:p>
    <w:p>
      <w:pPr>
        <w:adjustRightInd w:val="0"/>
        <w:snapToGrid w:val="0"/>
        <w:spacing w:line="600" w:lineRule="exact"/>
        <w:ind w:firstLine="720"/>
        <w:rPr>
          <w:rFonts w:ascii="黑体" w:hAnsi="宋体" w:eastAsia="黑体"/>
          <w:color w:val="auto"/>
          <w:sz w:val="32"/>
          <w:szCs w:val="32"/>
          <w:highlight w:val="none"/>
          <w:lang w:val="zh-CN"/>
        </w:rPr>
      </w:pPr>
      <w:r>
        <w:rPr>
          <w:rFonts w:hint="eastAsia" w:ascii="黑体" w:hAnsi="宋体" w:eastAsia="黑体"/>
          <w:color w:val="auto"/>
          <w:sz w:val="32"/>
          <w:szCs w:val="32"/>
          <w:highlight w:val="none"/>
        </w:rPr>
        <w:t>一、</w:t>
      </w:r>
      <w:r>
        <w:rPr>
          <w:rFonts w:hint="eastAsia" w:ascii="黑体" w:hAnsi="宋体" w:eastAsia="黑体"/>
          <w:color w:val="auto"/>
          <w:sz w:val="32"/>
          <w:szCs w:val="32"/>
          <w:highlight w:val="none"/>
          <w:lang w:val="zh-CN"/>
        </w:rPr>
        <w:t>项目概况</w:t>
      </w:r>
    </w:p>
    <w:p>
      <w:pPr>
        <w:adjustRightInd w:val="0"/>
        <w:snapToGrid w:val="0"/>
        <w:spacing w:line="600" w:lineRule="exact"/>
        <w:ind w:firstLine="720"/>
        <w:rPr>
          <w:rFonts w:hint="eastAsia"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（一）项目基本情况。</w:t>
      </w:r>
    </w:p>
    <w:p>
      <w:pPr>
        <w:ind w:firstLine="63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泸州市中医医院属于财政差额拨款事业单位，根据市委市政府确定给予我单位</w:t>
      </w:r>
      <w:r>
        <w:rPr>
          <w:rFonts w:hint="eastAsia" w:ascii="仿宋" w:hAnsi="仿宋" w:eastAsia="仿宋" w:cs="仿宋"/>
          <w:color w:val="auto"/>
          <w:sz w:val="28"/>
          <w:szCs w:val="28"/>
          <w:lang w:val="en-US" w:eastAsia="zh-CN"/>
        </w:rPr>
        <w:t>2020年</w:t>
      </w:r>
      <w:r>
        <w:rPr>
          <w:rFonts w:hint="eastAsia" w:ascii="仿宋" w:hAnsi="仿宋" w:eastAsia="仿宋" w:cs="仿宋"/>
          <w:color w:val="auto"/>
          <w:sz w:val="28"/>
          <w:szCs w:val="28"/>
          <w:lang w:val="zh-CN" w:eastAsia="zh-CN"/>
        </w:rPr>
        <w:t>例行项目资金补助即定向补助资金，金额为</w:t>
      </w:r>
      <w:r>
        <w:rPr>
          <w:rFonts w:hint="eastAsia" w:ascii="仿宋" w:hAnsi="仿宋" w:eastAsia="仿宋" w:cs="仿宋"/>
          <w:color w:val="auto"/>
          <w:sz w:val="28"/>
          <w:szCs w:val="28"/>
          <w:lang w:val="en-US" w:eastAsia="zh-CN"/>
        </w:rPr>
        <w:t>491万元，用于医疗设备购置、信息化建设等，</w:t>
      </w:r>
      <w:r>
        <w:rPr>
          <w:rFonts w:hint="eastAsia" w:ascii="仿宋" w:hAnsi="仿宋" w:eastAsia="仿宋" w:cs="仿宋"/>
          <w:color w:val="auto"/>
          <w:sz w:val="28"/>
          <w:szCs w:val="28"/>
          <w:lang w:val="zh-CN" w:eastAsia="zh-CN"/>
        </w:rPr>
        <w:t>该资金符合资金管理办法等相关规定。该项目资金总额为</w:t>
      </w:r>
      <w:r>
        <w:rPr>
          <w:rFonts w:hint="eastAsia" w:ascii="仿宋" w:hAnsi="仿宋" w:eastAsia="仿宋" w:cs="仿宋"/>
          <w:color w:val="auto"/>
          <w:sz w:val="28"/>
          <w:szCs w:val="28"/>
          <w:lang w:val="en-US" w:eastAsia="zh-CN"/>
        </w:rPr>
        <w:t>491万元，但因供应商账号有误被退回41.05万元，对方未及时提供更改信息，导致当年实际支付金额为449.95万元。</w:t>
      </w:r>
    </w:p>
    <w:p>
      <w:pPr>
        <w:numPr>
          <w:ilvl w:val="0"/>
          <w:numId w:val="7"/>
        </w:numPr>
        <w:adjustRightInd w:val="0"/>
        <w:snapToGrid w:val="0"/>
        <w:spacing w:line="600" w:lineRule="exact"/>
        <w:ind w:firstLine="720"/>
        <w:rPr>
          <w:rFonts w:hint="eastAsia"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项目绩效目标。</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楷体_GB2312" w:hAnsi="宋体" w:eastAsia="楷体_GB2312" w:cs="楷体_GB2312"/>
          <w:b w:val="0"/>
          <w:bCs w:val="0"/>
          <w:color w:val="auto"/>
          <w:highlight w:val="none"/>
          <w:lang w:val="en-US" w:eastAsia="zh-CN"/>
        </w:rPr>
        <w:t xml:space="preserve">  </w:t>
      </w:r>
      <w:r>
        <w:rPr>
          <w:rFonts w:hint="eastAsia" w:ascii="仿宋_GB2312" w:hAnsi="宋体" w:eastAsia="仿宋_GB2312"/>
          <w:color w:val="auto"/>
          <w:sz w:val="32"/>
          <w:szCs w:val="32"/>
          <w:highlight w:val="none"/>
          <w:lang w:val="en-US" w:eastAsia="zh-CN"/>
        </w:rPr>
        <w:t xml:space="preserve">   </w:t>
      </w:r>
      <w:r>
        <w:rPr>
          <w:rFonts w:hint="eastAsia" w:ascii="仿宋" w:hAnsi="仿宋" w:eastAsia="仿宋" w:cs="仿宋"/>
          <w:color w:val="auto"/>
          <w:sz w:val="28"/>
          <w:szCs w:val="28"/>
          <w:lang w:val="zh-CN" w:eastAsia="zh-CN"/>
        </w:rPr>
        <w:t>我院</w:t>
      </w:r>
      <w:r>
        <w:rPr>
          <w:rFonts w:hint="eastAsia" w:ascii="仿宋" w:hAnsi="仿宋" w:eastAsia="仿宋" w:cs="仿宋"/>
          <w:color w:val="auto"/>
          <w:sz w:val="28"/>
          <w:szCs w:val="28"/>
          <w:lang w:val="en-US" w:eastAsia="zh-CN"/>
        </w:rPr>
        <w:t>2020年</w:t>
      </w:r>
      <w:r>
        <w:rPr>
          <w:rFonts w:hint="eastAsia" w:ascii="仿宋" w:hAnsi="仿宋" w:eastAsia="仿宋" w:cs="仿宋"/>
          <w:color w:val="auto"/>
          <w:sz w:val="28"/>
          <w:szCs w:val="28"/>
          <w:lang w:val="zh-CN" w:eastAsia="zh-CN"/>
        </w:rPr>
        <w:t>定向补助资金主要用于购置医疗专业设备，年初预算购置明细为数字X线成像系统（DR）、数字胃肠机、高频电外科手术系统等设施设备。截止</w:t>
      </w:r>
      <w:r>
        <w:rPr>
          <w:rFonts w:hint="eastAsia" w:ascii="仿宋" w:hAnsi="仿宋" w:eastAsia="仿宋" w:cs="仿宋"/>
          <w:color w:val="auto"/>
          <w:sz w:val="28"/>
          <w:szCs w:val="28"/>
          <w:lang w:val="en-US" w:eastAsia="zh-CN"/>
        </w:rPr>
        <w:t>2020年12月31日已完成医疗专业设备的采购，并按照合同的约定、验收情况等进度支付设备款项。</w:t>
      </w:r>
      <w:r>
        <w:rPr>
          <w:rFonts w:hint="eastAsia" w:ascii="仿宋" w:hAnsi="仿宋" w:eastAsia="仿宋" w:cs="仿宋"/>
          <w:color w:val="auto"/>
          <w:sz w:val="28"/>
          <w:szCs w:val="28"/>
          <w:lang w:val="zh-CN" w:eastAsia="zh-CN"/>
        </w:rPr>
        <w:t>因医疗业务调整，该项目资金购置的医疗设备与年初预算拟购置的医疗设备存在不一致的情况，但均属于医疗专业设备，合理且可行。</w:t>
      </w:r>
      <w:r>
        <w:rPr>
          <w:rFonts w:hint="eastAsia" w:ascii="仿宋" w:hAnsi="仿宋" w:eastAsia="仿宋" w:cs="仿宋"/>
          <w:color w:val="auto"/>
          <w:sz w:val="28"/>
          <w:szCs w:val="28"/>
          <w:lang w:val="en-US" w:eastAsia="zh-CN"/>
        </w:rPr>
        <w:t>购置医疗设备主要是为了提高医疗效率与准确性，完善医院的医疗设施设备，更好地为广大患者服务。</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（三）项目自评步骤及方法。</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_GB2312" w:hAnsi="宋体" w:eastAsia="仿宋_GB2312"/>
          <w:color w:val="auto"/>
          <w:sz w:val="32"/>
          <w:szCs w:val="32"/>
          <w:highlight w:val="none"/>
          <w:lang w:val="en-US" w:eastAsia="zh-CN"/>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医院成立了项目管理领导小组，对工作组进行了任务分工，制定了经费管理办法、任务实施进度。明确了经费使用渠道、使用范围、建立了专账、专人管理。由专人定期对项目进度进行通报，组织相关责任科室对项目的使用范围、完成情况、产生的经济、社会效益等方面进行评价。</w:t>
      </w:r>
    </w:p>
    <w:p>
      <w:pPr>
        <w:adjustRightInd w:val="0"/>
        <w:snapToGrid w:val="0"/>
        <w:spacing w:line="600" w:lineRule="exact"/>
        <w:ind w:firstLine="720"/>
        <w:rPr>
          <w:rFonts w:ascii="黑体" w:hAnsi="宋体" w:eastAsia="黑体"/>
          <w:color w:val="auto"/>
          <w:sz w:val="32"/>
          <w:szCs w:val="32"/>
          <w:highlight w:val="none"/>
        </w:rPr>
      </w:pPr>
      <w:r>
        <w:rPr>
          <w:rFonts w:hint="eastAsia" w:ascii="黑体" w:hAnsi="宋体" w:eastAsia="黑体"/>
          <w:color w:val="auto"/>
          <w:sz w:val="32"/>
          <w:szCs w:val="32"/>
          <w:highlight w:val="none"/>
        </w:rPr>
        <w:t>二、项目资金申报及使用情况</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（一）项目资金申报及批复情况。</w:t>
      </w:r>
    </w:p>
    <w:p>
      <w:pPr>
        <w:numPr>
          <w:ilvl w:val="0"/>
          <w:numId w:val="0"/>
        </w:numPr>
        <w:adjustRightInd w:val="0"/>
        <w:snapToGrid w:val="0"/>
        <w:spacing w:line="60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zh-CN" w:eastAsia="zh-CN"/>
        </w:rPr>
        <w:t>泸州市中医医院属于财政差额拨款事业单位。该项目资金主要根据市委市政府确定，给予我单位</w:t>
      </w:r>
      <w:r>
        <w:rPr>
          <w:rFonts w:hint="eastAsia" w:ascii="仿宋" w:hAnsi="仿宋" w:eastAsia="仿宋" w:cs="仿宋"/>
          <w:color w:val="auto"/>
          <w:sz w:val="28"/>
          <w:szCs w:val="28"/>
          <w:lang w:val="en-US" w:eastAsia="zh-CN"/>
        </w:rPr>
        <w:t>每年的</w:t>
      </w:r>
      <w:r>
        <w:rPr>
          <w:rFonts w:hint="eastAsia" w:ascii="仿宋" w:hAnsi="仿宋" w:eastAsia="仿宋" w:cs="仿宋"/>
          <w:color w:val="auto"/>
          <w:sz w:val="28"/>
          <w:szCs w:val="28"/>
          <w:lang w:val="zh-CN" w:eastAsia="zh-CN"/>
        </w:rPr>
        <w:t>例行项目资金补助，金额确定为</w:t>
      </w:r>
      <w:r>
        <w:rPr>
          <w:rFonts w:hint="eastAsia" w:ascii="仿宋" w:hAnsi="仿宋" w:eastAsia="仿宋" w:cs="仿宋"/>
          <w:color w:val="auto"/>
          <w:sz w:val="28"/>
          <w:szCs w:val="28"/>
          <w:lang w:val="en-US" w:eastAsia="zh-CN"/>
        </w:rPr>
        <w:t>491万元。</w:t>
      </w:r>
    </w:p>
    <w:p>
      <w:pPr>
        <w:adjustRightInd w:val="0"/>
        <w:snapToGrid w:val="0"/>
        <w:spacing w:line="600" w:lineRule="exact"/>
        <w:ind w:firstLine="720"/>
        <w:rPr>
          <w:rFonts w:ascii="仿宋_GB2312" w:hAnsi="宋体" w:eastAsia="仿宋_GB2312"/>
          <w:color w:val="auto"/>
          <w:sz w:val="32"/>
          <w:szCs w:val="32"/>
          <w:highlight w:val="none"/>
          <w:lang w:val="zh-CN"/>
        </w:rPr>
      </w:pPr>
      <w:r>
        <w:rPr>
          <w:rFonts w:hint="eastAsia" w:ascii="楷体_GB2312" w:hAnsi="宋体" w:eastAsia="楷体_GB2312"/>
          <w:b/>
          <w:color w:val="auto"/>
          <w:sz w:val="32"/>
          <w:szCs w:val="32"/>
          <w:highlight w:val="none"/>
          <w:lang w:val="zh-CN"/>
        </w:rPr>
        <w:t>（二）资金计划、到位及使用情况。</w:t>
      </w:r>
    </w:p>
    <w:p>
      <w:pPr>
        <w:numPr>
          <w:ilvl w:val="0"/>
          <w:numId w:val="0"/>
        </w:numPr>
        <w:adjustRightInd w:val="0"/>
        <w:snapToGrid w:val="0"/>
        <w:spacing w:line="60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1．资金计划。该项目资金主要根据市委市政府确定，给予我单位</w:t>
      </w:r>
      <w:r>
        <w:rPr>
          <w:rFonts w:hint="eastAsia" w:ascii="仿宋" w:hAnsi="仿宋" w:eastAsia="仿宋" w:cs="仿宋"/>
          <w:color w:val="auto"/>
          <w:sz w:val="28"/>
          <w:szCs w:val="28"/>
          <w:lang w:val="en-US" w:eastAsia="zh-CN"/>
        </w:rPr>
        <w:t>每年的</w:t>
      </w:r>
      <w:r>
        <w:rPr>
          <w:rFonts w:hint="eastAsia" w:ascii="仿宋" w:hAnsi="仿宋" w:eastAsia="仿宋" w:cs="仿宋"/>
          <w:color w:val="auto"/>
          <w:sz w:val="28"/>
          <w:szCs w:val="28"/>
          <w:lang w:val="zh-CN" w:eastAsia="zh-CN"/>
        </w:rPr>
        <w:t>例行项目资金补助，金额确定为</w:t>
      </w:r>
      <w:r>
        <w:rPr>
          <w:rFonts w:hint="eastAsia" w:ascii="仿宋" w:hAnsi="仿宋" w:eastAsia="仿宋" w:cs="仿宋"/>
          <w:color w:val="auto"/>
          <w:sz w:val="28"/>
          <w:szCs w:val="28"/>
          <w:lang w:val="en-US" w:eastAsia="zh-CN"/>
        </w:rPr>
        <w:t>491万元,属市级财政补助资金。</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2．资金到位。该项目资金总金额为</w:t>
      </w:r>
      <w:r>
        <w:rPr>
          <w:rFonts w:hint="eastAsia" w:ascii="仿宋" w:hAnsi="仿宋" w:eastAsia="仿宋" w:cs="仿宋"/>
          <w:color w:val="auto"/>
          <w:sz w:val="28"/>
          <w:szCs w:val="28"/>
          <w:lang w:val="en-US" w:eastAsia="zh-CN"/>
        </w:rPr>
        <w:t>491万元，主要用于设备购置、信息化建设等。</w:t>
      </w:r>
      <w:r>
        <w:rPr>
          <w:rFonts w:hint="eastAsia" w:ascii="仿宋" w:hAnsi="仿宋" w:eastAsia="仿宋" w:cs="仿宋"/>
          <w:color w:val="auto"/>
          <w:sz w:val="28"/>
          <w:szCs w:val="28"/>
          <w:lang w:val="zh-CN" w:eastAsia="zh-CN"/>
        </w:rPr>
        <w:t>市财政局于</w:t>
      </w:r>
      <w:r>
        <w:rPr>
          <w:rFonts w:hint="eastAsia" w:ascii="仿宋" w:hAnsi="仿宋" w:eastAsia="仿宋" w:cs="仿宋"/>
          <w:color w:val="auto"/>
          <w:sz w:val="28"/>
          <w:szCs w:val="28"/>
          <w:lang w:val="en-US" w:eastAsia="zh-CN"/>
        </w:rPr>
        <w:t>2020年4月6日下达到大平台，该资金到位及时，且到位率为100%。</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3．资金使用。</w:t>
      </w:r>
      <w:r>
        <w:rPr>
          <w:rFonts w:hint="eastAsia" w:ascii="仿宋" w:hAnsi="仿宋" w:eastAsia="仿宋" w:cs="仿宋"/>
          <w:color w:val="auto"/>
          <w:sz w:val="28"/>
          <w:szCs w:val="28"/>
          <w:lang w:val="en-US" w:eastAsia="zh-CN"/>
        </w:rPr>
        <w:t>我单位于2020年5月使用134.09万元,;于2020年6月使用203.94万元;于2020年8月使用16.37万元；于2020年11月使用24.22万元;于2020年12月使用112.38万元，但因供应商账号有误被退回41.05万元，对方未及时提供更改信息，导致当年未完成支付金额为41.05万元，于2021年初支付完毕。该项目资金主要用于医疗专业设备购置,按合同约定支付设备款项,合规合法,支付资金总额与预算总额相一致。</w:t>
      </w:r>
    </w:p>
    <w:p>
      <w:pPr>
        <w:adjustRightInd w:val="0"/>
        <w:snapToGrid w:val="0"/>
        <w:spacing w:line="600" w:lineRule="exact"/>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en-US" w:eastAsia="zh-CN"/>
        </w:rPr>
        <w:t xml:space="preserve">  </w:t>
      </w:r>
      <w:r>
        <w:rPr>
          <w:rFonts w:hint="eastAsia" w:ascii="楷体_GB2312" w:hAnsi="宋体" w:eastAsia="楷体_GB2312"/>
          <w:b/>
          <w:color w:val="auto"/>
          <w:sz w:val="32"/>
          <w:szCs w:val="32"/>
          <w:highlight w:val="none"/>
          <w:lang w:val="zh-CN"/>
        </w:rPr>
        <w:t>（三）项目财务管理情况。</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我单位制定了项目资金管理办法，在财务科设置了项目管理人员，每月对项目资金使用情况进行通报。严格按照新政府会计制度、医院会计制度等进行会计核算，严格按照项目实施方案实施。</w:t>
      </w:r>
    </w:p>
    <w:p>
      <w:pPr>
        <w:adjustRightInd w:val="0"/>
        <w:snapToGrid w:val="0"/>
        <w:spacing w:line="600" w:lineRule="exact"/>
        <w:ind w:firstLine="720"/>
        <w:rPr>
          <w:rFonts w:ascii="黑体" w:hAnsi="宋体" w:eastAsia="黑体"/>
          <w:color w:val="auto"/>
          <w:sz w:val="32"/>
          <w:szCs w:val="32"/>
          <w:highlight w:val="none"/>
        </w:rPr>
      </w:pPr>
      <w:r>
        <w:rPr>
          <w:rFonts w:hint="eastAsia" w:ascii="黑体" w:hAnsi="宋体" w:eastAsia="黑体"/>
          <w:color w:val="auto"/>
          <w:sz w:val="32"/>
          <w:szCs w:val="32"/>
          <w:highlight w:val="none"/>
        </w:rPr>
        <w:t>三、项目实施及管理情况</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我单位制度专项资金使用管理规定，根据项目用途，按照统一分配，分级管理，专款专用，追踪问效的原则进行分配、管理、使用和考核。医疗专业设备购置均按政府采购流程进行采购。</w:t>
      </w:r>
    </w:p>
    <w:p>
      <w:pPr>
        <w:numPr>
          <w:ilvl w:val="0"/>
          <w:numId w:val="8"/>
        </w:numPr>
        <w:adjustRightInd w:val="0"/>
        <w:snapToGrid w:val="0"/>
        <w:spacing w:line="600" w:lineRule="exact"/>
        <w:ind w:firstLine="720"/>
        <w:rPr>
          <w:rFonts w:hint="eastAsia"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项目组织架构及实施流程。</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1、项目组织构架</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项目经费管理领导小组</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组  长：郑海三</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副组长：王万芳、何进、薛成后、胡伟</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成  员：各科室负责人</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2、项目实施流程</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（1）专项资金根据项目用途，按照统一分配，分级管理，专款专用，追踪问效的原则进行分配、管理、使用和考核。</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（2）专项资金纳入医院财务科统一管理，实行专户或专帐核算。</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（3）医院统一负责项目实施和资金使用。主要领导负主要责任，分管领导负直接责任。明确项目执行人员，项目执行人员应全面执行项目实施方案，完成项目任务，实现工作目标。</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楷体_GB2312" w:hAnsi="宋体" w:eastAsia="楷体_GB2312"/>
          <w:b/>
          <w:color w:val="auto"/>
          <w:sz w:val="32"/>
          <w:szCs w:val="32"/>
          <w:highlight w:val="none"/>
          <w:lang w:val="zh-CN"/>
        </w:rPr>
        <w:t>（二）项目管理情况。</w:t>
      </w:r>
      <w:r>
        <w:rPr>
          <w:rFonts w:hint="eastAsia" w:ascii="仿宋" w:hAnsi="仿宋" w:eastAsia="仿宋" w:cs="仿宋"/>
          <w:color w:val="auto"/>
          <w:sz w:val="28"/>
          <w:szCs w:val="28"/>
          <w:lang w:val="zh-CN" w:eastAsia="zh-CN"/>
        </w:rPr>
        <w:t>该项目主要用于医疗设备购置，主要通过政府采购进行采购，严格按照政府采购相关法规、政策、制度执行。</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楷体_GB2312" w:hAnsi="宋体" w:eastAsia="楷体_GB2312"/>
          <w:b/>
          <w:color w:val="auto"/>
          <w:sz w:val="32"/>
          <w:szCs w:val="32"/>
          <w:highlight w:val="none"/>
          <w:lang w:val="zh-CN"/>
        </w:rPr>
        <w:t>（三）项目监管情况。</w:t>
      </w:r>
      <w:r>
        <w:rPr>
          <w:rFonts w:hint="eastAsia" w:ascii="仿宋" w:hAnsi="仿宋" w:eastAsia="仿宋" w:cs="仿宋"/>
          <w:color w:val="auto"/>
          <w:sz w:val="28"/>
          <w:szCs w:val="28"/>
          <w:lang w:val="zh-CN" w:eastAsia="zh-CN"/>
        </w:rPr>
        <w:t>医院成立了项目管理领导小组，对项目资金进行任务分解，按要求专账核算，专户管理，专款专用。指定专人负责，负责进度督查和情况上报，建立项目进度台账。每月定期清理项目资金的使用情况，实行项目经费“谁使用、谁负责”，实施双向追踪机制。</w:t>
      </w:r>
    </w:p>
    <w:p>
      <w:pPr>
        <w:adjustRightInd w:val="0"/>
        <w:snapToGrid w:val="0"/>
        <w:spacing w:line="600" w:lineRule="exact"/>
        <w:ind w:firstLine="720"/>
        <w:rPr>
          <w:rFonts w:ascii="仿宋_GB2312" w:hAnsi="宋体" w:eastAsia="仿宋_GB2312"/>
          <w:color w:val="auto"/>
          <w:sz w:val="32"/>
          <w:szCs w:val="32"/>
          <w:highlight w:val="none"/>
          <w:lang w:val="zh-CN"/>
        </w:rPr>
      </w:pPr>
      <w:r>
        <w:rPr>
          <w:rFonts w:hint="eastAsia" w:ascii="黑体" w:hAnsi="宋体" w:eastAsia="黑体"/>
          <w:color w:val="auto"/>
          <w:sz w:val="32"/>
          <w:szCs w:val="32"/>
          <w:highlight w:val="none"/>
        </w:rPr>
        <w:t>四、项目绩效情况</w:t>
      </w:r>
      <w:r>
        <w:rPr>
          <w:rFonts w:ascii="仿宋_GB2312" w:hAnsi="宋体" w:eastAsia="仿宋_GB2312"/>
          <w:color w:val="auto"/>
          <w:sz w:val="32"/>
          <w:szCs w:val="32"/>
          <w:highlight w:val="none"/>
          <w:lang w:val="zh-CN"/>
        </w:rPr>
        <w:tab/>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（一）项目完成情况。</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我单位于2020年总共购置46台设备。分别于2020年5月支付134.09万元，于2020年6月支付203.94万元，于2020年8月支付16.37万元，于2020年11月支付24.22万元，于2020年12月支付112.38万元，但因供应商账号有误被退回41.05万元，对方未及时提供更改信息，导致当年未完成支付金额为41.05万元，于2021年初支付完毕。以上设备均通过验收，能正常使用，达到预期效果。</w:t>
      </w:r>
    </w:p>
    <w:p>
      <w:pPr>
        <w:numPr>
          <w:ilvl w:val="0"/>
          <w:numId w:val="9"/>
        </w:numPr>
        <w:adjustRightInd w:val="0"/>
        <w:snapToGrid w:val="0"/>
        <w:spacing w:line="600" w:lineRule="exact"/>
        <w:ind w:firstLine="720"/>
        <w:rPr>
          <w:rFonts w:hint="eastAsia"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项目效益情况。</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项目经济效益方面：购置新设备可开展新的医疗服务项目，提高疾病诊断的准确性。</w:t>
      </w:r>
    </w:p>
    <w:p>
      <w:pPr>
        <w:adjustRightInd w:val="0"/>
        <w:snapToGrid w:val="0"/>
        <w:spacing w:line="600" w:lineRule="exact"/>
        <w:ind w:firstLine="72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项</w:t>
      </w:r>
      <w:r>
        <w:rPr>
          <w:rFonts w:hint="eastAsia" w:ascii="仿宋" w:hAnsi="仿宋" w:eastAsia="仿宋" w:cs="仿宋"/>
          <w:color w:val="auto"/>
          <w:sz w:val="28"/>
          <w:szCs w:val="28"/>
          <w:lang w:val="zh-CN" w:eastAsia="zh-CN"/>
        </w:rPr>
        <w:t>目社会效益方面：完善医院的医疗设施设备，更好地为患者服务。</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项目可持续影响方面：设备运行情况均大于等于</w:t>
      </w:r>
      <w:r>
        <w:rPr>
          <w:rFonts w:hint="eastAsia" w:ascii="仿宋" w:hAnsi="仿宋" w:eastAsia="仿宋" w:cs="仿宋"/>
          <w:color w:val="auto"/>
          <w:sz w:val="28"/>
          <w:szCs w:val="28"/>
          <w:lang w:val="en-US" w:eastAsia="zh-CN"/>
        </w:rPr>
        <w:t>5年。</w:t>
      </w:r>
    </w:p>
    <w:p>
      <w:pPr>
        <w:adjustRightInd w:val="0"/>
        <w:snapToGrid w:val="0"/>
        <w:spacing w:line="600" w:lineRule="exact"/>
        <w:ind w:firstLine="72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项目满意度方面：从服务对象满意度、使用科室满意度、主管部门满意度方面均大于等于</w:t>
      </w:r>
      <w:r>
        <w:rPr>
          <w:rFonts w:hint="eastAsia" w:ascii="仿宋" w:hAnsi="仿宋" w:eastAsia="仿宋" w:cs="仿宋"/>
          <w:color w:val="auto"/>
          <w:sz w:val="28"/>
          <w:szCs w:val="28"/>
          <w:lang w:val="en-US" w:eastAsia="zh-CN"/>
        </w:rPr>
        <w:t>80%。</w:t>
      </w:r>
    </w:p>
    <w:p>
      <w:pPr>
        <w:adjustRightInd w:val="0"/>
        <w:snapToGrid w:val="0"/>
        <w:spacing w:line="600" w:lineRule="exact"/>
        <w:ind w:firstLine="720"/>
        <w:rPr>
          <w:rFonts w:ascii="黑体" w:hAnsi="宋体" w:eastAsia="黑体"/>
          <w:color w:val="auto"/>
          <w:sz w:val="32"/>
          <w:szCs w:val="32"/>
          <w:highlight w:val="none"/>
        </w:rPr>
      </w:pPr>
      <w:r>
        <w:rPr>
          <w:rFonts w:hint="eastAsia" w:ascii="黑体" w:hAnsi="宋体" w:eastAsia="黑体"/>
          <w:color w:val="auto"/>
          <w:sz w:val="32"/>
          <w:szCs w:val="32"/>
          <w:highlight w:val="none"/>
        </w:rPr>
        <w:t>五、评价结论及建议</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（一）评价结论。</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该项目资金根据市委市政府确定，给予我单位</w:t>
      </w:r>
      <w:r>
        <w:rPr>
          <w:rFonts w:hint="eastAsia" w:ascii="仿宋" w:hAnsi="仿宋" w:eastAsia="仿宋" w:cs="仿宋"/>
          <w:color w:val="auto"/>
          <w:sz w:val="28"/>
          <w:szCs w:val="28"/>
          <w:lang w:val="en-US" w:eastAsia="zh-CN"/>
        </w:rPr>
        <w:t>每年的</w:t>
      </w:r>
      <w:r>
        <w:rPr>
          <w:rFonts w:hint="eastAsia" w:ascii="仿宋" w:hAnsi="仿宋" w:eastAsia="仿宋" w:cs="仿宋"/>
          <w:color w:val="auto"/>
          <w:sz w:val="28"/>
          <w:szCs w:val="28"/>
          <w:lang w:val="zh-CN" w:eastAsia="zh-CN"/>
        </w:rPr>
        <w:t>例行项目资金补助，主要用于购置医疗设施设备、信息化建设等方面。通过完善医院的设施设备，开展新的医疗项目、提高医疗效率与准确性、节约患者因误诊漏诊造成的时间成本、经济成本，提高了广大患者的就医体验。</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（二）存在的问题。</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医院规模在发展，医疗技术在提高，服务就医人群在增大，医疗设备在更新和增加，医护人员持续增长，但上级主管部门给予资金的补助却逐年递减。</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国家提出扶持和促进中医药事业发展的意见，但在同级医院中，中医医院的财政定向补助资金却长期低于综合性医院，不利于泸州中医药事业的发展。</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（三）相关建议。</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在国家大力提倡扶持和促进中医药事业的发展的形势下，建议多出台扶持中医事业发展的政策，提高对中医医院财政定向补助资金的比例。我院将积极响应国家的号召，发挥中医药特色优势，开展特色诊疗技术，创新中医药理论和技术方法，不断改善医疗环境和培训中医药人才，更好地为广大患者提供优质服务。</w:t>
      </w:r>
    </w:p>
    <w:p>
      <w:pPr>
        <w:widowControl/>
        <w:jc w:val="left"/>
        <w:rPr>
          <w:rFonts w:hint="eastAsia" w:ascii="黑体" w:hAnsi="黑体" w:eastAsia="黑体"/>
          <w:color w:val="auto"/>
          <w:sz w:val="44"/>
          <w:szCs w:val="44"/>
          <w:highlight w:val="none"/>
        </w:rPr>
      </w:pPr>
    </w:p>
    <w:p>
      <w:pPr>
        <w:widowControl/>
        <w:jc w:val="left"/>
        <w:rPr>
          <w:rFonts w:hint="eastAsia" w:ascii="黑体" w:hAnsi="黑体" w:eastAsia="黑体"/>
          <w:color w:val="auto"/>
          <w:sz w:val="44"/>
          <w:szCs w:val="44"/>
          <w:highlight w:val="none"/>
        </w:rPr>
      </w:pPr>
    </w:p>
    <w:p>
      <w:pPr>
        <w:widowControl/>
        <w:jc w:val="left"/>
        <w:rPr>
          <w:rFonts w:hint="eastAsia" w:ascii="黑体" w:hAnsi="黑体" w:eastAsia="黑体"/>
          <w:color w:val="auto"/>
          <w:sz w:val="44"/>
          <w:szCs w:val="44"/>
          <w:highlight w:val="none"/>
        </w:rPr>
      </w:pPr>
    </w:p>
    <w:p>
      <w:pPr>
        <w:spacing w:line="580" w:lineRule="exact"/>
        <w:rPr>
          <w:rFonts w:ascii="仿宋_GB2312" w:hAnsi="仿宋_GB2312" w:eastAsia="仿宋_GB2312" w:cs="仿宋_GB2312"/>
          <w:color w:val="auto"/>
          <w:sz w:val="32"/>
          <w:szCs w:val="32"/>
          <w:highlight w:val="none"/>
        </w:rPr>
      </w:pPr>
      <w:r>
        <w:rPr>
          <w:rFonts w:hint="eastAsia" w:ascii="黑体" w:hAnsi="黑体" w:eastAsia="黑体" w:cs="黑体"/>
          <w:color w:val="auto"/>
          <w:sz w:val="32"/>
          <w:szCs w:val="32"/>
          <w:highlight w:val="none"/>
        </w:rPr>
        <w:t>附件</w:t>
      </w:r>
      <w:r>
        <w:rPr>
          <w:rFonts w:ascii="黑体" w:hAnsi="黑体" w:eastAsia="黑体" w:cs="黑体"/>
          <w:color w:val="auto"/>
          <w:sz w:val="32"/>
          <w:szCs w:val="32"/>
          <w:highlight w:val="none"/>
        </w:rPr>
        <w:t>2</w:t>
      </w:r>
    </w:p>
    <w:p>
      <w:pPr>
        <w:spacing w:line="580" w:lineRule="exact"/>
        <w:ind w:firstLine="640" w:firstLineChars="200"/>
        <w:rPr>
          <w:rFonts w:ascii="仿宋_GB2312" w:hAnsi="仿宋_GB2312" w:eastAsia="仿宋_GB2312" w:cs="仿宋_GB2312"/>
          <w:color w:val="auto"/>
          <w:sz w:val="32"/>
          <w:szCs w:val="32"/>
          <w:highlight w:val="none"/>
        </w:rPr>
      </w:pPr>
    </w:p>
    <w:p>
      <w:pPr>
        <w:spacing w:line="600" w:lineRule="exact"/>
        <w:jc w:val="center"/>
        <w:rPr>
          <w:rFonts w:hint="eastAsia" w:ascii="方正小标宋简体" w:hAnsi="宋体" w:eastAsia="方正小标宋简体"/>
          <w:color w:val="auto"/>
          <w:kern w:val="0"/>
          <w:sz w:val="44"/>
          <w:szCs w:val="44"/>
          <w:highlight w:val="none"/>
          <w:lang w:val="zh-CN"/>
        </w:rPr>
      </w:pPr>
      <w:r>
        <w:rPr>
          <w:rFonts w:hint="eastAsia" w:ascii="方正小标宋简体" w:hAnsi="宋体" w:eastAsia="方正小标宋简体"/>
          <w:color w:val="auto"/>
          <w:kern w:val="0"/>
          <w:sz w:val="44"/>
          <w:szCs w:val="44"/>
          <w:highlight w:val="none"/>
          <w:lang w:val="zh-CN" w:eastAsia="zh-CN"/>
        </w:rPr>
        <w:t>新院建设设备购置补助经费</w:t>
      </w:r>
      <w:r>
        <w:rPr>
          <w:rFonts w:hint="eastAsia" w:ascii="方正小标宋简体" w:hAnsi="宋体" w:eastAsia="方正小标宋简体"/>
          <w:color w:val="auto"/>
          <w:kern w:val="0"/>
          <w:sz w:val="44"/>
          <w:szCs w:val="44"/>
          <w:highlight w:val="none"/>
          <w:lang w:val="zh-CN"/>
        </w:rPr>
        <w:t>项目</w:t>
      </w:r>
    </w:p>
    <w:p>
      <w:pPr>
        <w:spacing w:line="600" w:lineRule="exact"/>
        <w:jc w:val="center"/>
        <w:rPr>
          <w:rFonts w:ascii="方正小标宋简体" w:hAnsi="宋体" w:eastAsia="方正小标宋简体"/>
          <w:color w:val="auto"/>
          <w:kern w:val="0"/>
          <w:sz w:val="44"/>
          <w:szCs w:val="44"/>
          <w:highlight w:val="none"/>
          <w:lang w:val="zh-CN"/>
        </w:rPr>
      </w:pPr>
      <w:r>
        <w:rPr>
          <w:rFonts w:ascii="方正小标宋简体" w:hAnsi="宋体" w:eastAsia="方正小标宋简体"/>
          <w:color w:val="auto"/>
          <w:kern w:val="0"/>
          <w:sz w:val="44"/>
          <w:szCs w:val="44"/>
          <w:highlight w:val="none"/>
        </w:rPr>
        <w:t>2020</w:t>
      </w:r>
      <w:r>
        <w:rPr>
          <w:rFonts w:hint="eastAsia" w:ascii="方正小标宋简体" w:hAnsi="宋体" w:eastAsia="方正小标宋简体"/>
          <w:color w:val="auto"/>
          <w:kern w:val="0"/>
          <w:sz w:val="44"/>
          <w:szCs w:val="44"/>
          <w:highlight w:val="none"/>
        </w:rPr>
        <w:t>年</w:t>
      </w:r>
      <w:r>
        <w:rPr>
          <w:rFonts w:hint="eastAsia" w:ascii="方正小标宋简体" w:hAnsi="宋体" w:eastAsia="方正小标宋简体"/>
          <w:color w:val="auto"/>
          <w:kern w:val="0"/>
          <w:sz w:val="44"/>
          <w:szCs w:val="44"/>
          <w:highlight w:val="none"/>
          <w:lang w:val="zh-CN"/>
        </w:rPr>
        <w:t>绩效评价报告</w:t>
      </w:r>
    </w:p>
    <w:p>
      <w:pPr>
        <w:spacing w:line="600" w:lineRule="exact"/>
        <w:rPr>
          <w:rFonts w:ascii="宋体"/>
          <w:color w:val="auto"/>
          <w:sz w:val="32"/>
          <w:szCs w:val="32"/>
          <w:highlight w:val="none"/>
          <w:lang w:val="zh-CN"/>
        </w:rPr>
      </w:pPr>
    </w:p>
    <w:p>
      <w:pPr>
        <w:adjustRightInd w:val="0"/>
        <w:snapToGrid w:val="0"/>
        <w:spacing w:line="600" w:lineRule="exact"/>
        <w:ind w:firstLine="720"/>
        <w:rPr>
          <w:rFonts w:ascii="黑体" w:hAnsi="宋体" w:eastAsia="黑体"/>
          <w:color w:val="auto"/>
          <w:sz w:val="32"/>
          <w:szCs w:val="32"/>
          <w:highlight w:val="none"/>
          <w:lang w:val="zh-CN"/>
        </w:rPr>
      </w:pPr>
      <w:r>
        <w:rPr>
          <w:rFonts w:hint="eastAsia" w:ascii="黑体" w:hAnsi="宋体" w:eastAsia="黑体"/>
          <w:color w:val="auto"/>
          <w:sz w:val="32"/>
          <w:szCs w:val="32"/>
          <w:highlight w:val="none"/>
        </w:rPr>
        <w:t>一、</w:t>
      </w:r>
      <w:r>
        <w:rPr>
          <w:rFonts w:hint="eastAsia" w:ascii="黑体" w:hAnsi="宋体" w:eastAsia="黑体"/>
          <w:color w:val="auto"/>
          <w:sz w:val="32"/>
          <w:szCs w:val="32"/>
          <w:highlight w:val="none"/>
          <w:lang w:val="zh-CN"/>
        </w:rPr>
        <w:t>项目概况</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（一）项目基本情况。</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为推动中医药事业发展，保障泸州市中医医院城南新院正常开诊，向泸州市财政局申请补助经费5500万元，从2020年起按照1100万元/年的标准对我院补助，主要用于我院设备购置。2020年市财政局对我院追加调整为1340万元，但因供应商账号有误被退回23.1万元，对方未及时提供更改信息，导致当年实际支付金额为1316.89万元。</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（二）项目绩效目标。</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我院</w:t>
      </w:r>
      <w:r>
        <w:rPr>
          <w:rFonts w:hint="eastAsia" w:ascii="仿宋" w:hAnsi="仿宋" w:eastAsia="仿宋" w:cs="仿宋"/>
          <w:color w:val="auto"/>
          <w:sz w:val="28"/>
          <w:szCs w:val="28"/>
          <w:lang w:val="en-US" w:eastAsia="zh-CN"/>
        </w:rPr>
        <w:t>2020年</w:t>
      </w:r>
      <w:r>
        <w:rPr>
          <w:rFonts w:hint="eastAsia" w:ascii="仿宋" w:hAnsi="仿宋" w:eastAsia="仿宋" w:cs="仿宋"/>
          <w:color w:val="auto"/>
          <w:sz w:val="28"/>
          <w:szCs w:val="28"/>
          <w:lang w:val="zh-CN" w:eastAsia="zh-CN"/>
        </w:rPr>
        <w:t>新院建设设备购置补助经费主要用于购置医疗专业设备</w:t>
      </w:r>
      <w:r>
        <w:rPr>
          <w:rFonts w:hint="eastAsia" w:ascii="仿宋" w:hAnsi="仿宋" w:eastAsia="仿宋" w:cs="仿宋"/>
          <w:color w:val="auto"/>
          <w:sz w:val="28"/>
          <w:szCs w:val="28"/>
          <w:lang w:val="en-US" w:eastAsia="zh-CN"/>
        </w:rPr>
        <w:t>3台</w:t>
      </w:r>
      <w:r>
        <w:rPr>
          <w:rFonts w:hint="eastAsia" w:ascii="仿宋" w:hAnsi="仿宋" w:eastAsia="仿宋" w:cs="仿宋"/>
          <w:color w:val="auto"/>
          <w:sz w:val="28"/>
          <w:szCs w:val="28"/>
          <w:lang w:val="zh-CN" w:eastAsia="zh-CN"/>
        </w:rPr>
        <w:t>。截止</w:t>
      </w:r>
      <w:r>
        <w:rPr>
          <w:rFonts w:hint="eastAsia" w:ascii="仿宋" w:hAnsi="仿宋" w:eastAsia="仿宋" w:cs="仿宋"/>
          <w:color w:val="auto"/>
          <w:sz w:val="28"/>
          <w:szCs w:val="28"/>
          <w:lang w:val="en-US" w:eastAsia="zh-CN"/>
        </w:rPr>
        <w:t>2020年12月31日已完成医疗专业设备的采购，并按照合同的约定、验收情况等进度支付设备款项。</w:t>
      </w:r>
      <w:r>
        <w:rPr>
          <w:rFonts w:hint="eastAsia" w:ascii="仿宋" w:hAnsi="仿宋" w:eastAsia="仿宋" w:cs="仿宋"/>
          <w:color w:val="auto"/>
          <w:sz w:val="28"/>
          <w:szCs w:val="28"/>
          <w:lang w:val="zh-CN" w:eastAsia="zh-CN"/>
        </w:rPr>
        <w:t>因医疗业务调整和年中追加预算，该项目资金购置的医疗设备与年初预算拟购置的医疗设备存在不一致的情况，但均属于医疗专业设备，同时增加信息化建设，合理且可行。</w:t>
      </w:r>
      <w:r>
        <w:rPr>
          <w:rFonts w:hint="eastAsia" w:ascii="仿宋" w:hAnsi="仿宋" w:eastAsia="仿宋" w:cs="仿宋"/>
          <w:color w:val="auto"/>
          <w:sz w:val="28"/>
          <w:szCs w:val="28"/>
          <w:lang w:val="en-US" w:eastAsia="zh-CN"/>
        </w:rPr>
        <w:t>购置医疗设备、开展信息化建设，确保</w:t>
      </w:r>
      <w:r>
        <w:rPr>
          <w:rFonts w:hint="eastAsia" w:ascii="仿宋" w:hAnsi="仿宋" w:eastAsia="仿宋" w:cs="仿宋"/>
          <w:color w:val="auto"/>
          <w:sz w:val="28"/>
          <w:szCs w:val="28"/>
          <w:lang w:val="zh-CN" w:eastAsia="zh-CN"/>
        </w:rPr>
        <w:t>城南院区顺利开诊。</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（三）项目自评步骤及方法。</w:t>
      </w:r>
    </w:p>
    <w:p>
      <w:pPr>
        <w:numPr>
          <w:ilvl w:val="0"/>
          <w:numId w:val="0"/>
        </w:numPr>
        <w:adjustRightInd w:val="0"/>
        <w:snapToGrid w:val="0"/>
        <w:spacing w:line="600" w:lineRule="exact"/>
        <w:rPr>
          <w:rFonts w:hint="eastAsia" w:ascii="仿宋_GB2312" w:hAnsi="宋体" w:eastAsia="仿宋_GB2312"/>
          <w:color w:val="auto"/>
          <w:sz w:val="32"/>
          <w:szCs w:val="32"/>
          <w:highlight w:val="none"/>
          <w:lang w:val="zh-CN" w:eastAsia="zh-CN"/>
        </w:rPr>
      </w:pPr>
      <w:r>
        <w:rPr>
          <w:rFonts w:hint="eastAsia" w:ascii="仿宋_GB2312" w:hAnsi="宋体" w:eastAsia="仿宋_GB2312"/>
          <w:color w:val="auto"/>
          <w:sz w:val="32"/>
          <w:szCs w:val="32"/>
          <w:highlight w:val="none"/>
          <w:lang w:val="en-US" w:eastAsia="zh-CN"/>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医院成立了项目管理领导小组，对工作组进行了任务分工，制定了经费管理办法、任务实施进度。明确了经费使用渠道、使用范围、建立了专账、专人管理。由专人定期对项目进度进行通报，组织相关责任科室对项目的使用范围、完成情况、产生的经济、社会效益等方面进行评价。</w:t>
      </w:r>
    </w:p>
    <w:p>
      <w:pPr>
        <w:adjustRightInd w:val="0"/>
        <w:snapToGrid w:val="0"/>
        <w:spacing w:line="600" w:lineRule="exact"/>
        <w:ind w:firstLine="720"/>
        <w:rPr>
          <w:rFonts w:ascii="黑体" w:hAnsi="宋体" w:eastAsia="黑体"/>
          <w:color w:val="auto"/>
          <w:sz w:val="32"/>
          <w:szCs w:val="32"/>
          <w:highlight w:val="none"/>
        </w:rPr>
      </w:pPr>
      <w:r>
        <w:rPr>
          <w:rFonts w:hint="eastAsia" w:ascii="黑体" w:hAnsi="宋体" w:eastAsia="黑体"/>
          <w:color w:val="auto"/>
          <w:sz w:val="32"/>
          <w:szCs w:val="32"/>
          <w:highlight w:val="none"/>
        </w:rPr>
        <w:t>二、项目资金申报及使用情况</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（一）项目资金申报及批复情况。</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我院通过市卫健委（泸市卫【</w:t>
      </w:r>
      <w:r>
        <w:rPr>
          <w:rFonts w:hint="eastAsia" w:ascii="仿宋" w:hAnsi="仿宋" w:eastAsia="仿宋" w:cs="仿宋"/>
          <w:color w:val="auto"/>
          <w:sz w:val="28"/>
          <w:szCs w:val="28"/>
          <w:lang w:val="en-US" w:eastAsia="zh-CN"/>
        </w:rPr>
        <w:t>2019】65号）文件</w:t>
      </w:r>
      <w:r>
        <w:rPr>
          <w:rFonts w:hint="eastAsia" w:ascii="仿宋" w:hAnsi="仿宋" w:eastAsia="仿宋" w:cs="仿宋"/>
          <w:color w:val="auto"/>
          <w:sz w:val="28"/>
          <w:szCs w:val="28"/>
          <w:lang w:val="zh-CN" w:eastAsia="zh-CN"/>
        </w:rPr>
        <w:t>《关于解决泸州市中医医院城南医院补助经费的请示》向泸州市财政局申请财政补助经费。泸州市财政局通过（泸市财社【</w:t>
      </w:r>
      <w:r>
        <w:rPr>
          <w:rFonts w:hint="eastAsia" w:ascii="仿宋" w:hAnsi="仿宋" w:eastAsia="仿宋" w:cs="仿宋"/>
          <w:color w:val="auto"/>
          <w:sz w:val="28"/>
          <w:szCs w:val="28"/>
          <w:lang w:val="en-US" w:eastAsia="zh-CN"/>
        </w:rPr>
        <w:t>2019】136号）文件批复从2020年起，市财政按照1100万元/年的补助标准对我院连续5年进行补助，每年所需资金分别纳入年初部门预算。</w:t>
      </w:r>
    </w:p>
    <w:p>
      <w:pPr>
        <w:adjustRightInd w:val="0"/>
        <w:snapToGrid w:val="0"/>
        <w:spacing w:line="600" w:lineRule="exact"/>
        <w:ind w:firstLine="720"/>
        <w:rPr>
          <w:rFonts w:ascii="仿宋_GB2312" w:hAnsi="宋体" w:eastAsia="仿宋_GB2312"/>
          <w:color w:val="auto"/>
          <w:sz w:val="32"/>
          <w:szCs w:val="32"/>
          <w:highlight w:val="none"/>
          <w:lang w:val="zh-CN"/>
        </w:rPr>
      </w:pPr>
      <w:r>
        <w:rPr>
          <w:rFonts w:hint="eastAsia" w:ascii="楷体_GB2312" w:hAnsi="宋体" w:eastAsia="楷体_GB2312"/>
          <w:b/>
          <w:color w:val="auto"/>
          <w:sz w:val="32"/>
          <w:szCs w:val="32"/>
          <w:highlight w:val="none"/>
          <w:lang w:val="zh-CN"/>
        </w:rPr>
        <w:t>（二）资金计划、到位及使用情况。</w:t>
      </w:r>
    </w:p>
    <w:p>
      <w:pPr>
        <w:numPr>
          <w:ilvl w:val="0"/>
          <w:numId w:val="0"/>
        </w:numPr>
        <w:adjustRightInd w:val="0"/>
        <w:snapToGrid w:val="0"/>
        <w:spacing w:line="60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1．资金计划。泸州</w:t>
      </w:r>
      <w:r>
        <w:rPr>
          <w:rFonts w:hint="eastAsia" w:ascii="仿宋" w:hAnsi="仿宋" w:eastAsia="仿宋" w:cs="仿宋"/>
          <w:color w:val="auto"/>
          <w:sz w:val="28"/>
          <w:szCs w:val="28"/>
          <w:lang w:val="en-US" w:eastAsia="zh-CN"/>
        </w:rPr>
        <w:t>市财政按照1100万元/年的补助标准对我院连续5年进行补助。2020年市财政局对我院追</w:t>
      </w:r>
      <w:bookmarkStart w:id="70" w:name="_GoBack"/>
      <w:bookmarkEnd w:id="70"/>
      <w:r>
        <w:rPr>
          <w:rFonts w:hint="eastAsia" w:ascii="仿宋" w:hAnsi="仿宋" w:eastAsia="仿宋" w:cs="仿宋"/>
          <w:color w:val="auto"/>
          <w:sz w:val="28"/>
          <w:szCs w:val="28"/>
          <w:lang w:val="en-US" w:eastAsia="zh-CN"/>
        </w:rPr>
        <w:t>加调整为1340万元。</w:t>
      </w:r>
    </w:p>
    <w:p>
      <w:pPr>
        <w:numPr>
          <w:ilvl w:val="0"/>
          <w:numId w:val="0"/>
        </w:numPr>
        <w:adjustRightInd w:val="0"/>
        <w:snapToGrid w:val="0"/>
        <w:spacing w:line="60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2．资金到位。泸州市财政局于</w:t>
      </w:r>
      <w:r>
        <w:rPr>
          <w:rFonts w:hint="eastAsia" w:ascii="仿宋" w:hAnsi="仿宋" w:eastAsia="仿宋" w:cs="仿宋"/>
          <w:color w:val="auto"/>
          <w:sz w:val="28"/>
          <w:szCs w:val="28"/>
          <w:lang w:val="en-US" w:eastAsia="zh-CN"/>
        </w:rPr>
        <w:t>2020年8月17日下达2400万元到大平台，2020年10月12日财政追减1060万元，最终下达资金为1340万元，该资金到位及时，且到位率为100%。</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3．资金使用。</w:t>
      </w:r>
      <w:r>
        <w:rPr>
          <w:rFonts w:hint="eastAsia" w:ascii="仿宋" w:hAnsi="仿宋" w:eastAsia="仿宋" w:cs="仿宋"/>
          <w:color w:val="auto"/>
          <w:sz w:val="28"/>
          <w:szCs w:val="28"/>
          <w:lang w:val="en-US" w:eastAsia="zh-CN"/>
        </w:rPr>
        <w:t>我单位于2020年9月使用79.61万元,;于2020年10月使用358.84万元;于2020年11月使用522.97万元；于2020年12月使用378.58万元，但因供应商账号有误被退回23.11万元，对方未及时提供更改信息，导致当年未完成支付金额为23.11万元，于2021年初支付完毕。该项目资金主要用于医疗专业设备购置、信息化建设等,按合同约定支付设备款项,合规合法,支付资金总额与预算总额相一致。</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（三）项目财务管理情况。</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我单位制定了项目资金管理办法，在财务科设置了项目管理人员，每月对项目资金使用情况进行通报。严格按照新政府会计制度、医院会计制度等进行会计核算，严格按照项目实施方案实施。</w:t>
      </w:r>
    </w:p>
    <w:p>
      <w:pPr>
        <w:adjustRightInd w:val="0"/>
        <w:snapToGrid w:val="0"/>
        <w:spacing w:line="600" w:lineRule="exact"/>
        <w:ind w:firstLine="720"/>
        <w:rPr>
          <w:rFonts w:ascii="黑体" w:hAnsi="宋体" w:eastAsia="黑体"/>
          <w:color w:val="auto"/>
          <w:sz w:val="32"/>
          <w:szCs w:val="32"/>
          <w:highlight w:val="none"/>
        </w:rPr>
      </w:pPr>
      <w:r>
        <w:rPr>
          <w:rFonts w:hint="eastAsia" w:ascii="黑体" w:hAnsi="宋体" w:eastAsia="黑体"/>
          <w:color w:val="auto"/>
          <w:sz w:val="32"/>
          <w:szCs w:val="32"/>
          <w:highlight w:val="none"/>
        </w:rPr>
        <w:t>三、项目实施及管理情况</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我单位制度专项资金使用管理规定，根据项目用途，按照统一分配，分级管理，专款专用，追踪问效的原则进行分配、管理、使用和考核。医疗专业设备购置均按政府采购流程进行采购。</w:t>
      </w:r>
    </w:p>
    <w:p>
      <w:pPr>
        <w:numPr>
          <w:ilvl w:val="0"/>
          <w:numId w:val="10"/>
        </w:numPr>
        <w:adjustRightInd w:val="0"/>
        <w:snapToGrid w:val="0"/>
        <w:spacing w:line="600" w:lineRule="exact"/>
        <w:ind w:firstLine="720"/>
        <w:rPr>
          <w:rFonts w:hint="eastAsia"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项目组织架构及实施流程。</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楷体_GB2312" w:hAnsi="宋体" w:eastAsia="楷体_GB2312"/>
          <w:b/>
          <w:color w:val="auto"/>
          <w:sz w:val="32"/>
          <w:szCs w:val="32"/>
          <w:highlight w:val="none"/>
          <w:lang w:val="en-US" w:eastAsia="zh-CN"/>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1、项目组织构架</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项目经费管理领导小组</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组  长：郑海三</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副组长：王万芳、何进、薛成后、胡伟</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成  员：各科室负责人</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2、项目实施流程</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（1）专项资金根据项目用途，按照统一分配，分级管理，专款专用，追踪问效的原则进行分配、管理、使用和考核。</w:t>
      </w:r>
    </w:p>
    <w:p>
      <w:pPr>
        <w:numPr>
          <w:ilvl w:val="0"/>
          <w:numId w:val="0"/>
        </w:num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（2）专项资金纳入医院财务科统一管理，实行专户或专帐核算。</w:t>
      </w:r>
    </w:p>
    <w:p>
      <w:pPr>
        <w:numPr>
          <w:ilvl w:val="0"/>
          <w:numId w:val="0"/>
        </w:numPr>
        <w:adjustRightInd w:val="0"/>
        <w:snapToGrid w:val="0"/>
        <w:spacing w:line="60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（3）医院统一负责项目实施和资金使用。主要领导负主要责任，分管领导负直接责任。明确项目执行人员，项目执行人员应全面执行项目实施方案，完成项目任务，实现工作目标。</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楷体_GB2312" w:hAnsi="宋体" w:eastAsia="楷体_GB2312"/>
          <w:b/>
          <w:color w:val="auto"/>
          <w:sz w:val="32"/>
          <w:szCs w:val="32"/>
          <w:highlight w:val="none"/>
          <w:lang w:val="zh-CN"/>
        </w:rPr>
        <w:t>（二）项目管理情况。</w:t>
      </w:r>
      <w:r>
        <w:rPr>
          <w:rFonts w:hint="eastAsia" w:ascii="仿宋" w:hAnsi="仿宋" w:eastAsia="仿宋" w:cs="仿宋"/>
          <w:color w:val="auto"/>
          <w:sz w:val="28"/>
          <w:szCs w:val="28"/>
          <w:lang w:val="zh-CN" w:eastAsia="zh-CN"/>
        </w:rPr>
        <w:t>该项目主要用于医疗设备购置，主要通过政府采购进行采购，严格按照政府采购相关法规、政策、制度执行。</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楷体_GB2312" w:hAnsi="宋体" w:eastAsia="楷体_GB2312"/>
          <w:b/>
          <w:color w:val="auto"/>
          <w:sz w:val="32"/>
          <w:szCs w:val="32"/>
          <w:highlight w:val="none"/>
          <w:lang w:val="zh-CN"/>
        </w:rPr>
        <w:t>（三）项目监管情况。</w:t>
      </w:r>
      <w:r>
        <w:rPr>
          <w:rFonts w:hint="eastAsia" w:ascii="仿宋" w:hAnsi="仿宋" w:eastAsia="仿宋" w:cs="仿宋"/>
          <w:color w:val="auto"/>
          <w:sz w:val="28"/>
          <w:szCs w:val="28"/>
          <w:lang w:val="zh-CN" w:eastAsia="zh-CN"/>
        </w:rPr>
        <w:t>医院成立了项目管理领导小组，对项目资金进行任务分解，按要求专账核算，专户管理，专款专用。指定专人负责，负责进度督查和情况上报，建立项目进度台账。每月定期清理项目资金的使用情况，实行项目经费“谁使用、谁负责”，实施双向追踪机制。</w:t>
      </w:r>
    </w:p>
    <w:p>
      <w:pPr>
        <w:adjustRightInd w:val="0"/>
        <w:snapToGrid w:val="0"/>
        <w:spacing w:line="600" w:lineRule="exact"/>
        <w:ind w:firstLine="720"/>
        <w:rPr>
          <w:rFonts w:ascii="仿宋_GB2312" w:hAnsi="宋体" w:eastAsia="仿宋_GB2312"/>
          <w:color w:val="auto"/>
          <w:sz w:val="32"/>
          <w:szCs w:val="32"/>
          <w:highlight w:val="none"/>
          <w:lang w:val="zh-CN"/>
        </w:rPr>
      </w:pPr>
      <w:r>
        <w:rPr>
          <w:rFonts w:hint="eastAsia" w:ascii="黑体" w:hAnsi="宋体" w:eastAsia="黑体"/>
          <w:color w:val="auto"/>
          <w:sz w:val="32"/>
          <w:szCs w:val="32"/>
          <w:highlight w:val="none"/>
        </w:rPr>
        <w:t>四、项目绩效情况</w:t>
      </w:r>
      <w:r>
        <w:rPr>
          <w:rFonts w:ascii="仿宋_GB2312" w:hAnsi="宋体" w:eastAsia="仿宋_GB2312"/>
          <w:color w:val="auto"/>
          <w:sz w:val="32"/>
          <w:szCs w:val="32"/>
          <w:highlight w:val="none"/>
          <w:lang w:val="zh-CN"/>
        </w:rPr>
        <w:tab/>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（一）项目完成情况。</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我单位于2020年9月支付79.61万元,;于2020年10月支付358.84万元;于2020年11月支付522.97万元；于2020年12月支付378.58万元，但因供应商账号有误被退回23.11万元，对方未及时提供更改信息，导致当年未完成支付金额为23.11万元，于2021年初支付完毕。以上均通过验收，能正常使用，达到预期效果。</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（二）项目效益情况。</w:t>
      </w:r>
    </w:p>
    <w:p>
      <w:pPr>
        <w:adjustRightInd w:val="0"/>
        <w:snapToGrid w:val="0"/>
        <w:spacing w:line="600" w:lineRule="exact"/>
        <w:ind w:firstLine="72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zh-CN" w:eastAsia="zh-CN"/>
        </w:rPr>
        <w:t>项目经济效益方面：为城南院区顺利开诊作准备，开展新的医疗服务项目，提高医疗收入。</w:t>
      </w:r>
      <w:r>
        <w:rPr>
          <w:rFonts w:hint="eastAsia" w:ascii="仿宋" w:hAnsi="仿宋" w:eastAsia="仿宋" w:cs="仿宋"/>
          <w:color w:val="auto"/>
          <w:sz w:val="28"/>
          <w:szCs w:val="28"/>
          <w:lang w:val="en-US" w:eastAsia="zh-CN"/>
        </w:rPr>
        <w:t xml:space="preserve">    </w:t>
      </w:r>
    </w:p>
    <w:p>
      <w:pPr>
        <w:adjustRightInd w:val="0"/>
        <w:snapToGrid w:val="0"/>
        <w:spacing w:line="600" w:lineRule="exact"/>
        <w:ind w:firstLine="72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项</w:t>
      </w:r>
      <w:r>
        <w:rPr>
          <w:rFonts w:hint="eastAsia" w:ascii="仿宋" w:hAnsi="仿宋" w:eastAsia="仿宋" w:cs="仿宋"/>
          <w:color w:val="auto"/>
          <w:sz w:val="28"/>
          <w:szCs w:val="28"/>
          <w:lang w:val="zh-CN" w:eastAsia="zh-CN"/>
        </w:rPr>
        <w:t>目社会效益方面：完善医院的医疗设施设备，更好地为患者服务。</w:t>
      </w:r>
    </w:p>
    <w:p>
      <w:pPr>
        <w:adjustRightInd w:val="0"/>
        <w:snapToGrid w:val="0"/>
        <w:spacing w:line="600" w:lineRule="exact"/>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项目可持续影响方面：设备运行情况均大于等于</w:t>
      </w:r>
      <w:r>
        <w:rPr>
          <w:rFonts w:hint="eastAsia" w:ascii="仿宋" w:hAnsi="仿宋" w:eastAsia="仿宋" w:cs="仿宋"/>
          <w:color w:val="auto"/>
          <w:sz w:val="28"/>
          <w:szCs w:val="28"/>
          <w:lang w:val="en-US" w:eastAsia="zh-CN"/>
        </w:rPr>
        <w:t>5年。</w:t>
      </w:r>
    </w:p>
    <w:p>
      <w:pPr>
        <w:adjustRightInd w:val="0"/>
        <w:snapToGrid w:val="0"/>
        <w:spacing w:line="60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val="zh-CN" w:eastAsia="zh-CN"/>
        </w:rPr>
        <w:t>项目满意度方面：从服务对象满意度、使用科室满意度、主管部门满意度方面均大于等于</w:t>
      </w:r>
      <w:r>
        <w:rPr>
          <w:rFonts w:hint="eastAsia" w:ascii="仿宋" w:hAnsi="仿宋" w:eastAsia="仿宋" w:cs="仿宋"/>
          <w:color w:val="auto"/>
          <w:sz w:val="28"/>
          <w:szCs w:val="28"/>
          <w:lang w:val="en-US" w:eastAsia="zh-CN"/>
        </w:rPr>
        <w:t>80%。</w:t>
      </w:r>
    </w:p>
    <w:p>
      <w:pPr>
        <w:adjustRightInd w:val="0"/>
        <w:snapToGrid w:val="0"/>
        <w:spacing w:line="600" w:lineRule="exact"/>
        <w:ind w:firstLine="720"/>
        <w:rPr>
          <w:rFonts w:ascii="黑体" w:hAnsi="宋体" w:eastAsia="黑体"/>
          <w:color w:val="auto"/>
          <w:sz w:val="32"/>
          <w:szCs w:val="32"/>
          <w:highlight w:val="none"/>
        </w:rPr>
      </w:pPr>
      <w:r>
        <w:rPr>
          <w:rFonts w:hint="eastAsia" w:ascii="黑体" w:hAnsi="宋体" w:eastAsia="黑体"/>
          <w:color w:val="auto"/>
          <w:sz w:val="32"/>
          <w:szCs w:val="32"/>
          <w:highlight w:val="none"/>
        </w:rPr>
        <w:t>五、评价结论及建议</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（一）评价结论。</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该项目主要为推动中医药事业发展，保障我院城南新院正常运转，泸州市财政局从</w:t>
      </w:r>
      <w:r>
        <w:rPr>
          <w:rFonts w:hint="eastAsia" w:ascii="仿宋" w:hAnsi="仿宋" w:eastAsia="仿宋" w:cs="仿宋"/>
          <w:color w:val="auto"/>
          <w:sz w:val="28"/>
          <w:szCs w:val="28"/>
          <w:lang w:val="en-US" w:eastAsia="zh-CN"/>
        </w:rPr>
        <w:t>2020年起，按照1100万元/年的补助标准连续5年进行补助。</w:t>
      </w:r>
      <w:r>
        <w:rPr>
          <w:rFonts w:hint="eastAsia" w:ascii="仿宋" w:hAnsi="仿宋" w:eastAsia="仿宋" w:cs="仿宋"/>
          <w:color w:val="auto"/>
          <w:sz w:val="28"/>
          <w:szCs w:val="28"/>
          <w:lang w:val="zh-CN" w:eastAsia="zh-CN"/>
        </w:rPr>
        <w:t>主要用于购置医疗设施设备、信息化建设等方面。通过购置新的医疗设备，开展信息化建设，便于城南医院的顺利开诊。</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（二）存在的问题。</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医院规模在发展，医疗技术在提高，服务就医人群在增大，医疗设备在更新和增加，医护人员持续增长，但上级主管部门给予资金的补助却逐年递减。</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国家提出扶持和促进中医药事业发展的意见，但在同级医院中，中医医院的财政定向补助资金却长期低于综合性医院，不利于泸州中医药事业的发展。</w:t>
      </w:r>
    </w:p>
    <w:p>
      <w:pPr>
        <w:adjustRightInd w:val="0"/>
        <w:snapToGrid w:val="0"/>
        <w:spacing w:line="600" w:lineRule="exact"/>
        <w:ind w:firstLine="720"/>
        <w:rPr>
          <w:rFonts w:ascii="楷体_GB2312" w:hAnsi="宋体" w:eastAsia="楷体_GB2312"/>
          <w:b/>
          <w:color w:val="auto"/>
          <w:sz w:val="32"/>
          <w:szCs w:val="32"/>
          <w:highlight w:val="none"/>
          <w:lang w:val="zh-CN"/>
        </w:rPr>
      </w:pPr>
      <w:r>
        <w:rPr>
          <w:rFonts w:hint="eastAsia" w:ascii="楷体_GB2312" w:hAnsi="宋体" w:eastAsia="楷体_GB2312"/>
          <w:b/>
          <w:color w:val="auto"/>
          <w:sz w:val="32"/>
          <w:szCs w:val="32"/>
          <w:highlight w:val="none"/>
          <w:lang w:val="zh-CN"/>
        </w:rPr>
        <w:t>（三）相关建议。</w:t>
      </w:r>
    </w:p>
    <w:p>
      <w:pPr>
        <w:adjustRightInd w:val="0"/>
        <w:snapToGrid w:val="0"/>
        <w:spacing w:line="600" w:lineRule="exact"/>
        <w:ind w:firstLine="72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在国家大力提倡扶持和促进中医药事业的发展的形势下，建议多出台扶持中医事业发展的政策，提高对中医医院财政定向补助资金的比例。我院将积极响应国家的号召，发挥中医药特色优势，开展特色诊疗技术，创新中医药理论和技术方法，不断改善医疗环境和培训中医药人才，更好地为广大患者提供优质服务。</w:t>
      </w:r>
    </w:p>
    <w:p>
      <w:pPr>
        <w:widowControl/>
        <w:jc w:val="left"/>
        <w:rPr>
          <w:rFonts w:hint="eastAsia" w:ascii="黑体" w:hAnsi="黑体" w:eastAsia="黑体"/>
          <w:color w:val="auto"/>
          <w:sz w:val="44"/>
          <w:szCs w:val="44"/>
          <w:highlight w:val="none"/>
        </w:rPr>
      </w:pPr>
    </w:p>
    <w:p>
      <w:pPr>
        <w:widowControl/>
        <w:jc w:val="left"/>
        <w:rPr>
          <w:rFonts w:hint="eastAsia" w:ascii="黑体" w:hAnsi="黑体" w:eastAsia="黑体"/>
          <w:color w:val="auto"/>
          <w:sz w:val="44"/>
          <w:szCs w:val="44"/>
          <w:highlight w:val="none"/>
        </w:rPr>
      </w:pPr>
    </w:p>
    <w:p>
      <w:pPr>
        <w:widowControl/>
        <w:jc w:val="left"/>
        <w:rPr>
          <w:rFonts w:hint="eastAsia" w:ascii="黑体" w:hAnsi="黑体" w:eastAsia="黑体"/>
          <w:color w:val="auto"/>
          <w:sz w:val="44"/>
          <w:szCs w:val="44"/>
          <w:highlight w:val="none"/>
        </w:rPr>
      </w:pPr>
    </w:p>
    <w:p>
      <w:pPr>
        <w:widowControl/>
        <w:jc w:val="left"/>
        <w:rPr>
          <w:rFonts w:hint="eastAsia" w:ascii="黑体" w:hAnsi="黑体" w:eastAsia="黑体"/>
          <w:color w:val="auto"/>
          <w:sz w:val="44"/>
          <w:szCs w:val="44"/>
          <w:highlight w:val="none"/>
        </w:rPr>
      </w:pPr>
    </w:p>
    <w:p>
      <w:pPr>
        <w:widowControl/>
        <w:jc w:val="left"/>
        <w:rPr>
          <w:rFonts w:ascii="黑体" w:hAnsi="黑体" w:eastAsia="黑体"/>
          <w:color w:val="auto"/>
          <w:sz w:val="44"/>
          <w:szCs w:val="44"/>
          <w:highlight w:val="none"/>
        </w:rPr>
      </w:pPr>
    </w:p>
    <w:p>
      <w:pPr>
        <w:widowControl/>
        <w:ind w:firstLine="1760" w:firstLineChars="400"/>
        <w:jc w:val="left"/>
        <w:rPr>
          <w:rStyle w:val="27"/>
          <w:rFonts w:hint="eastAsia" w:ascii="黑体" w:hAnsi="黑体" w:eastAsia="黑体"/>
          <w:b w:val="0"/>
          <w:color w:val="auto"/>
          <w:highlight w:val="none"/>
        </w:rPr>
      </w:pPr>
      <w:r>
        <w:rPr>
          <w:rFonts w:hint="eastAsia" w:ascii="黑体" w:hAnsi="黑体" w:eastAsia="黑体"/>
          <w:color w:val="auto"/>
          <w:sz w:val="44"/>
          <w:szCs w:val="44"/>
          <w:highlight w:val="none"/>
        </w:rPr>
        <w:t>第</w:t>
      </w:r>
      <w:r>
        <w:rPr>
          <w:rStyle w:val="27"/>
          <w:rFonts w:hint="eastAsia" w:ascii="黑体" w:hAnsi="黑体" w:eastAsia="黑体"/>
          <w:b w:val="0"/>
          <w:color w:val="auto"/>
          <w:highlight w:val="none"/>
        </w:rPr>
        <w:t>五部分 附表</w:t>
      </w:r>
      <w:bookmarkEnd w:id="55"/>
      <w:bookmarkEnd w:id="56"/>
      <w:bookmarkStart w:id="57" w:name="_Toc15396619"/>
    </w:p>
    <w:p>
      <w:pPr>
        <w:widowControl/>
        <w:ind w:firstLine="1760" w:firstLineChars="400"/>
        <w:jc w:val="left"/>
        <w:rPr>
          <w:rStyle w:val="27"/>
          <w:rFonts w:hint="eastAsia" w:ascii="黑体" w:hAnsi="黑体" w:eastAsia="黑体"/>
          <w:b w:val="0"/>
          <w:color w:val="auto"/>
          <w:highlight w:val="none"/>
        </w:rPr>
      </w:pPr>
    </w:p>
    <w:p>
      <w:pPr>
        <w:widowControl/>
        <w:numPr>
          <w:ilvl w:val="0"/>
          <w:numId w:val="0"/>
        </w:numPr>
        <w:jc w:val="left"/>
        <w:rPr>
          <w:rFonts w:hint="eastAsia" w:ascii="仿宋" w:hAnsi="仿宋" w:eastAsia="仿宋" w:cs="黑体"/>
          <w:b w:val="0"/>
          <w:bCs/>
          <w:color w:val="000000"/>
          <w:kern w:val="2"/>
          <w:sz w:val="32"/>
          <w:szCs w:val="32"/>
          <w:lang w:val="en-US" w:eastAsia="zh-CN" w:bidi="ar-SA"/>
        </w:rPr>
      </w:pPr>
      <w:r>
        <w:rPr>
          <w:rFonts w:hint="eastAsia" w:ascii="仿宋" w:hAnsi="仿宋" w:eastAsia="仿宋" w:cs="黑体"/>
          <w:b w:val="0"/>
          <w:bCs/>
          <w:color w:val="000000"/>
          <w:kern w:val="2"/>
          <w:sz w:val="32"/>
          <w:szCs w:val="32"/>
          <w:lang w:val="en-US" w:eastAsia="zh-CN" w:bidi="ar-SA"/>
        </w:rPr>
        <w:t>一、收入支出决算总表</w:t>
      </w:r>
      <w:bookmarkEnd w:id="57"/>
      <w:bookmarkStart w:id="58" w:name="_Toc15396620"/>
    </w:p>
    <w:p>
      <w:pPr>
        <w:widowControl/>
        <w:numPr>
          <w:ilvl w:val="0"/>
          <w:numId w:val="0"/>
        </w:numPr>
        <w:jc w:val="left"/>
        <w:rPr>
          <w:rFonts w:hint="eastAsia" w:ascii="仿宋" w:hAnsi="仿宋" w:eastAsia="仿宋" w:cs="黑体"/>
          <w:b w:val="0"/>
          <w:bCs/>
          <w:color w:val="000000"/>
          <w:kern w:val="2"/>
          <w:sz w:val="32"/>
          <w:szCs w:val="32"/>
          <w:lang w:val="en-US" w:eastAsia="zh-CN" w:bidi="ar-SA"/>
        </w:rPr>
      </w:pPr>
      <w:r>
        <w:rPr>
          <w:rFonts w:hint="eastAsia" w:ascii="仿宋" w:hAnsi="仿宋" w:eastAsia="仿宋" w:cs="黑体"/>
          <w:b w:val="0"/>
          <w:bCs/>
          <w:color w:val="000000"/>
          <w:kern w:val="2"/>
          <w:sz w:val="32"/>
          <w:szCs w:val="32"/>
          <w:lang w:val="en-US" w:eastAsia="zh-CN" w:bidi="ar-SA"/>
        </w:rPr>
        <w:t>二、收入决算表</w:t>
      </w:r>
      <w:bookmarkEnd w:id="58"/>
    </w:p>
    <w:p>
      <w:pPr>
        <w:pStyle w:val="3"/>
        <w:rPr>
          <w:rFonts w:ascii="仿宋" w:hAnsi="仿宋" w:eastAsia="仿宋"/>
          <w:b w:val="0"/>
          <w:bCs/>
          <w:color w:val="000000"/>
        </w:rPr>
      </w:pPr>
      <w:bookmarkStart w:id="59" w:name="_Toc15396621"/>
      <w:r>
        <w:rPr>
          <w:rStyle w:val="28"/>
          <w:rFonts w:hint="eastAsia" w:ascii="仿宋" w:hAnsi="仿宋" w:eastAsia="仿宋"/>
          <w:b w:val="0"/>
          <w:bCs/>
        </w:rPr>
        <w:t>三、</w:t>
      </w:r>
      <w:r>
        <w:rPr>
          <w:rFonts w:hint="eastAsia" w:ascii="仿宋" w:hAnsi="仿宋" w:eastAsia="仿宋"/>
          <w:b w:val="0"/>
          <w:bCs/>
          <w:color w:val="000000"/>
        </w:rPr>
        <w:t>支</w:t>
      </w:r>
      <w:r>
        <w:rPr>
          <w:rStyle w:val="28"/>
          <w:rFonts w:hint="eastAsia" w:ascii="仿宋" w:hAnsi="仿宋" w:eastAsia="仿宋"/>
          <w:b w:val="0"/>
          <w:bCs/>
        </w:rPr>
        <w:t>出决算表</w:t>
      </w:r>
      <w:bookmarkEnd w:id="59"/>
    </w:p>
    <w:p>
      <w:pPr>
        <w:pStyle w:val="3"/>
        <w:rPr>
          <w:rFonts w:ascii="仿宋" w:hAnsi="仿宋" w:eastAsia="仿宋"/>
          <w:b w:val="0"/>
          <w:bCs/>
          <w:color w:val="000000"/>
        </w:rPr>
      </w:pPr>
      <w:bookmarkStart w:id="60" w:name="_Toc15396622"/>
      <w:r>
        <w:rPr>
          <w:rStyle w:val="28"/>
          <w:rFonts w:hint="eastAsia" w:ascii="仿宋" w:hAnsi="仿宋" w:eastAsia="仿宋"/>
          <w:b w:val="0"/>
          <w:bCs/>
        </w:rPr>
        <w:t>四、</w:t>
      </w:r>
      <w:r>
        <w:rPr>
          <w:rFonts w:hint="eastAsia" w:ascii="仿宋" w:hAnsi="仿宋" w:eastAsia="仿宋"/>
          <w:b w:val="0"/>
          <w:bCs/>
          <w:color w:val="000000"/>
        </w:rPr>
        <w:t>财</w:t>
      </w:r>
      <w:r>
        <w:rPr>
          <w:rStyle w:val="28"/>
          <w:rFonts w:hint="eastAsia" w:ascii="仿宋" w:hAnsi="仿宋" w:eastAsia="仿宋"/>
          <w:b w:val="0"/>
          <w:bCs/>
        </w:rPr>
        <w:t>政拨款收入支出决算总表</w:t>
      </w:r>
      <w:bookmarkEnd w:id="60"/>
    </w:p>
    <w:p>
      <w:pPr>
        <w:pStyle w:val="3"/>
        <w:rPr>
          <w:rStyle w:val="28"/>
          <w:rFonts w:ascii="仿宋" w:hAnsi="仿宋" w:eastAsia="仿宋"/>
          <w:b w:val="0"/>
          <w:bCs/>
        </w:rPr>
      </w:pPr>
      <w:bookmarkStart w:id="61" w:name="_Toc15396623"/>
      <w:r>
        <w:rPr>
          <w:rStyle w:val="28"/>
          <w:rFonts w:hint="eastAsia" w:ascii="仿宋" w:hAnsi="仿宋" w:eastAsia="仿宋"/>
          <w:b w:val="0"/>
          <w:bCs/>
        </w:rPr>
        <w:t>五、</w:t>
      </w:r>
      <w:r>
        <w:rPr>
          <w:rFonts w:hint="eastAsia" w:ascii="仿宋" w:hAnsi="仿宋" w:eastAsia="仿宋"/>
          <w:b w:val="0"/>
          <w:bCs/>
          <w:color w:val="000000"/>
        </w:rPr>
        <w:t>财</w:t>
      </w:r>
      <w:r>
        <w:rPr>
          <w:rStyle w:val="28"/>
          <w:rFonts w:hint="eastAsia" w:ascii="仿宋" w:hAnsi="仿宋" w:eastAsia="仿宋"/>
          <w:b w:val="0"/>
          <w:bCs/>
        </w:rPr>
        <w:t>政拨款支出决算明细表</w:t>
      </w:r>
      <w:bookmarkEnd w:id="61"/>
      <w:bookmarkStart w:id="62" w:name="_Toc15396624"/>
    </w:p>
    <w:p>
      <w:pPr>
        <w:pStyle w:val="3"/>
        <w:rPr>
          <w:rFonts w:ascii="仿宋" w:hAnsi="仿宋" w:eastAsia="仿宋"/>
          <w:b w:val="0"/>
          <w:bCs/>
          <w:color w:val="000000"/>
        </w:rPr>
      </w:pPr>
      <w:r>
        <w:rPr>
          <w:rStyle w:val="28"/>
          <w:rFonts w:hint="eastAsia" w:ascii="仿宋" w:hAnsi="仿宋" w:eastAsia="仿宋"/>
          <w:b w:val="0"/>
          <w:bCs/>
        </w:rPr>
        <w:t>六、</w:t>
      </w:r>
      <w:r>
        <w:rPr>
          <w:rFonts w:hint="eastAsia" w:ascii="仿宋" w:hAnsi="仿宋" w:eastAsia="仿宋"/>
          <w:b w:val="0"/>
          <w:bCs/>
          <w:color w:val="000000"/>
        </w:rPr>
        <w:t>一</w:t>
      </w:r>
      <w:r>
        <w:rPr>
          <w:rStyle w:val="28"/>
          <w:rFonts w:hint="eastAsia" w:ascii="仿宋" w:hAnsi="仿宋" w:eastAsia="仿宋"/>
          <w:b w:val="0"/>
          <w:bCs/>
        </w:rPr>
        <w:t>般公共预算财政拨款支出决算表</w:t>
      </w:r>
      <w:bookmarkEnd w:id="62"/>
    </w:p>
    <w:p>
      <w:pPr>
        <w:pStyle w:val="3"/>
        <w:rPr>
          <w:rFonts w:ascii="仿宋" w:hAnsi="仿宋" w:eastAsia="仿宋"/>
          <w:b w:val="0"/>
          <w:bCs/>
          <w:color w:val="000000"/>
        </w:rPr>
      </w:pPr>
      <w:bookmarkStart w:id="63" w:name="_Toc15396625"/>
      <w:r>
        <w:rPr>
          <w:rStyle w:val="28"/>
          <w:rFonts w:hint="eastAsia" w:ascii="仿宋" w:hAnsi="仿宋" w:eastAsia="仿宋"/>
          <w:b w:val="0"/>
          <w:bCs/>
        </w:rPr>
        <w:t>七、</w:t>
      </w:r>
      <w:r>
        <w:rPr>
          <w:rFonts w:hint="eastAsia" w:ascii="仿宋" w:hAnsi="仿宋" w:eastAsia="仿宋"/>
          <w:b w:val="0"/>
          <w:bCs/>
          <w:color w:val="000000"/>
        </w:rPr>
        <w:t>一</w:t>
      </w:r>
      <w:r>
        <w:rPr>
          <w:rStyle w:val="28"/>
          <w:rFonts w:hint="eastAsia" w:ascii="仿宋" w:hAnsi="仿宋" w:eastAsia="仿宋"/>
          <w:b w:val="0"/>
          <w:bCs/>
        </w:rPr>
        <w:t>般公共预算财政拨款支出决算明细表</w:t>
      </w:r>
      <w:bookmarkEnd w:id="63"/>
    </w:p>
    <w:p>
      <w:pPr>
        <w:pStyle w:val="3"/>
        <w:rPr>
          <w:rFonts w:ascii="仿宋" w:hAnsi="仿宋" w:eastAsia="仿宋"/>
          <w:b w:val="0"/>
          <w:bCs/>
          <w:color w:val="000000"/>
        </w:rPr>
      </w:pPr>
      <w:bookmarkStart w:id="64" w:name="_Toc15396626"/>
      <w:r>
        <w:rPr>
          <w:rStyle w:val="28"/>
          <w:rFonts w:hint="eastAsia" w:ascii="仿宋" w:hAnsi="仿宋" w:eastAsia="仿宋"/>
          <w:b w:val="0"/>
          <w:bCs/>
        </w:rPr>
        <w:t>八、</w:t>
      </w:r>
      <w:r>
        <w:rPr>
          <w:rFonts w:hint="eastAsia" w:ascii="仿宋" w:hAnsi="仿宋" w:eastAsia="仿宋"/>
          <w:b w:val="0"/>
          <w:bCs/>
          <w:color w:val="000000"/>
        </w:rPr>
        <w:t>一</w:t>
      </w:r>
      <w:r>
        <w:rPr>
          <w:rStyle w:val="28"/>
          <w:rFonts w:hint="eastAsia" w:ascii="仿宋" w:hAnsi="仿宋" w:eastAsia="仿宋"/>
          <w:b w:val="0"/>
          <w:bCs/>
        </w:rPr>
        <w:t>般公共预算财政拨款基本支出决算表</w:t>
      </w:r>
      <w:bookmarkEnd w:id="64"/>
    </w:p>
    <w:p>
      <w:pPr>
        <w:pStyle w:val="3"/>
        <w:rPr>
          <w:rFonts w:ascii="仿宋" w:hAnsi="仿宋" w:eastAsia="仿宋"/>
          <w:b w:val="0"/>
          <w:bCs/>
          <w:color w:val="000000"/>
        </w:rPr>
      </w:pPr>
      <w:bookmarkStart w:id="65" w:name="_Toc15396627"/>
      <w:r>
        <w:rPr>
          <w:rStyle w:val="28"/>
          <w:rFonts w:hint="eastAsia" w:ascii="仿宋" w:hAnsi="仿宋" w:eastAsia="仿宋"/>
          <w:b w:val="0"/>
          <w:bCs/>
        </w:rPr>
        <w:t>九、</w:t>
      </w:r>
      <w:r>
        <w:rPr>
          <w:rFonts w:hint="eastAsia" w:ascii="仿宋" w:hAnsi="仿宋" w:eastAsia="仿宋"/>
          <w:b w:val="0"/>
          <w:bCs/>
          <w:color w:val="000000"/>
        </w:rPr>
        <w:t>一</w:t>
      </w:r>
      <w:r>
        <w:rPr>
          <w:rStyle w:val="28"/>
          <w:rFonts w:hint="eastAsia" w:ascii="仿宋" w:hAnsi="仿宋" w:eastAsia="仿宋"/>
          <w:b w:val="0"/>
          <w:bCs/>
        </w:rPr>
        <w:t>般公共预算财政拨款项目支出决算表</w:t>
      </w:r>
      <w:bookmarkEnd w:id="65"/>
    </w:p>
    <w:p>
      <w:pPr>
        <w:pStyle w:val="3"/>
        <w:rPr>
          <w:rFonts w:ascii="仿宋" w:hAnsi="仿宋" w:eastAsia="仿宋"/>
          <w:b w:val="0"/>
          <w:bCs/>
          <w:color w:val="000000"/>
        </w:rPr>
      </w:pPr>
      <w:bookmarkStart w:id="66" w:name="_Toc15396628"/>
      <w:r>
        <w:rPr>
          <w:rStyle w:val="28"/>
          <w:rFonts w:hint="eastAsia" w:ascii="仿宋" w:hAnsi="仿宋" w:eastAsia="仿宋"/>
          <w:b w:val="0"/>
          <w:bCs/>
        </w:rPr>
        <w:t>十、</w:t>
      </w:r>
      <w:r>
        <w:rPr>
          <w:rFonts w:hint="eastAsia" w:ascii="仿宋" w:hAnsi="仿宋" w:eastAsia="仿宋"/>
          <w:b w:val="0"/>
          <w:bCs/>
          <w:color w:val="000000"/>
        </w:rPr>
        <w:t>一</w:t>
      </w:r>
      <w:r>
        <w:rPr>
          <w:rStyle w:val="28"/>
          <w:rFonts w:hint="eastAsia" w:ascii="仿宋" w:hAnsi="仿宋" w:eastAsia="仿宋"/>
          <w:b w:val="0"/>
          <w:bCs/>
        </w:rPr>
        <w:t>般公共预算财政拨款“三公”经费支出决算表</w:t>
      </w:r>
      <w:bookmarkEnd w:id="66"/>
    </w:p>
    <w:p>
      <w:pPr>
        <w:pStyle w:val="3"/>
        <w:rPr>
          <w:rFonts w:ascii="仿宋" w:hAnsi="仿宋" w:eastAsia="仿宋"/>
          <w:b w:val="0"/>
          <w:bCs/>
          <w:color w:val="000000"/>
        </w:rPr>
      </w:pPr>
      <w:bookmarkStart w:id="67" w:name="_Toc15396629"/>
      <w:r>
        <w:rPr>
          <w:rStyle w:val="28"/>
          <w:rFonts w:hint="eastAsia" w:ascii="仿宋" w:hAnsi="仿宋" w:eastAsia="仿宋"/>
          <w:b w:val="0"/>
          <w:bCs/>
        </w:rPr>
        <w:t>十一、</w:t>
      </w:r>
      <w:r>
        <w:rPr>
          <w:rFonts w:hint="eastAsia" w:ascii="仿宋" w:hAnsi="仿宋" w:eastAsia="仿宋"/>
          <w:b w:val="0"/>
          <w:bCs/>
          <w:color w:val="000000"/>
        </w:rPr>
        <w:t>政</w:t>
      </w:r>
      <w:r>
        <w:rPr>
          <w:rStyle w:val="28"/>
          <w:rFonts w:hint="eastAsia" w:ascii="仿宋" w:hAnsi="仿宋" w:eastAsia="仿宋"/>
          <w:b w:val="0"/>
          <w:bCs/>
        </w:rPr>
        <w:t>府性基金预算财政拨款收入支出决算表</w:t>
      </w:r>
      <w:bookmarkEnd w:id="67"/>
    </w:p>
    <w:p>
      <w:pPr>
        <w:pStyle w:val="3"/>
        <w:rPr>
          <w:rFonts w:ascii="仿宋" w:hAnsi="仿宋" w:eastAsia="仿宋"/>
          <w:b w:val="0"/>
          <w:bCs/>
          <w:color w:val="000000"/>
        </w:rPr>
      </w:pPr>
      <w:bookmarkStart w:id="68" w:name="_Toc15396630"/>
      <w:r>
        <w:rPr>
          <w:rStyle w:val="28"/>
          <w:rFonts w:hint="eastAsia" w:ascii="仿宋" w:hAnsi="仿宋" w:eastAsia="仿宋"/>
          <w:b w:val="0"/>
          <w:bCs/>
        </w:rPr>
        <w:t>十二、</w:t>
      </w:r>
      <w:r>
        <w:rPr>
          <w:rFonts w:hint="eastAsia" w:ascii="仿宋" w:hAnsi="仿宋" w:eastAsia="仿宋"/>
          <w:b w:val="0"/>
          <w:bCs/>
          <w:color w:val="000000"/>
        </w:rPr>
        <w:t>政</w:t>
      </w:r>
      <w:r>
        <w:rPr>
          <w:rStyle w:val="28"/>
          <w:rFonts w:hint="eastAsia" w:ascii="仿宋" w:hAnsi="仿宋" w:eastAsia="仿宋"/>
          <w:b w:val="0"/>
          <w:bCs/>
        </w:rPr>
        <w:t>府性基金预算财政拨款“三公”经费支出决算表</w:t>
      </w:r>
      <w:bookmarkEnd w:id="68"/>
    </w:p>
    <w:p>
      <w:pPr>
        <w:pStyle w:val="3"/>
        <w:rPr>
          <w:rStyle w:val="28"/>
          <w:rFonts w:hint="eastAsia" w:ascii="仿宋" w:hAnsi="仿宋" w:eastAsia="仿宋"/>
          <w:b w:val="0"/>
          <w:bCs/>
        </w:rPr>
      </w:pPr>
      <w:bookmarkStart w:id="69" w:name="_Toc15396631"/>
      <w:r>
        <w:rPr>
          <w:rStyle w:val="28"/>
          <w:rFonts w:hint="eastAsia" w:ascii="仿宋" w:hAnsi="仿宋" w:eastAsia="仿宋"/>
          <w:b w:val="0"/>
          <w:bCs/>
        </w:rPr>
        <w:t>十三、国有资本经营预算财政拨款收入支出决算表</w:t>
      </w:r>
    </w:p>
    <w:p>
      <w:pPr>
        <w:pStyle w:val="3"/>
        <w:rPr>
          <w:rFonts w:ascii="仿宋" w:hAnsi="仿宋" w:eastAsia="仿宋"/>
          <w:b w:val="0"/>
          <w:bCs/>
          <w:color w:val="000000"/>
        </w:rPr>
      </w:pPr>
      <w:r>
        <w:rPr>
          <w:rStyle w:val="28"/>
          <w:rFonts w:hint="eastAsia" w:ascii="仿宋" w:hAnsi="仿宋" w:eastAsia="仿宋"/>
          <w:b w:val="0"/>
          <w:bCs/>
        </w:rPr>
        <w:t>十四、</w:t>
      </w:r>
      <w:r>
        <w:rPr>
          <w:rFonts w:hint="eastAsia" w:ascii="仿宋" w:hAnsi="仿宋" w:eastAsia="仿宋"/>
          <w:b w:val="0"/>
          <w:bCs/>
          <w:color w:val="000000"/>
        </w:rPr>
        <w:t>国</w:t>
      </w:r>
      <w:r>
        <w:rPr>
          <w:rStyle w:val="28"/>
          <w:rFonts w:hint="eastAsia" w:ascii="仿宋" w:hAnsi="仿宋" w:eastAsia="仿宋"/>
          <w:b w:val="0"/>
          <w:bCs/>
        </w:rPr>
        <w:t>有资本经营预算财政拨款支出决算表</w:t>
      </w:r>
      <w:bookmarkEnd w:id="69"/>
    </w:p>
    <w:p>
      <w:pPr>
        <w:pStyle w:val="3"/>
        <w:rPr>
          <w:rFonts w:ascii="仿宋" w:hAnsi="仿宋" w:eastAsia="仿宋"/>
          <w:b w:val="0"/>
          <w:bCs/>
          <w:color w:val="auto"/>
          <w:sz w:val="30"/>
          <w:szCs w:val="30"/>
          <w:highlight w:val="none"/>
        </w:rPr>
      </w:pPr>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t>2</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FA047D"/>
    <w:multiLevelType w:val="singleLevel"/>
    <w:tmpl w:val="E2FA047D"/>
    <w:lvl w:ilvl="0" w:tentative="0">
      <w:start w:val="3"/>
      <w:numFmt w:val="chineseCounting"/>
      <w:suff w:val="space"/>
      <w:lvlText w:val="第%1部分"/>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6141AF6D"/>
    <w:multiLevelType w:val="singleLevel"/>
    <w:tmpl w:val="6141AF6D"/>
    <w:lvl w:ilvl="0" w:tentative="0">
      <w:start w:val="1"/>
      <w:numFmt w:val="decimal"/>
      <w:suff w:val="nothing"/>
      <w:lvlText w:val="%1."/>
      <w:lvlJc w:val="left"/>
    </w:lvl>
  </w:abstractNum>
  <w:abstractNum w:abstractNumId="3">
    <w:nsid w:val="6141B41D"/>
    <w:multiLevelType w:val="singleLevel"/>
    <w:tmpl w:val="6141B41D"/>
    <w:lvl w:ilvl="0" w:tentative="0">
      <w:start w:val="2"/>
      <w:numFmt w:val="decimal"/>
      <w:suff w:val="nothing"/>
      <w:lvlText w:val="（%1）"/>
      <w:lvlJc w:val="left"/>
    </w:lvl>
  </w:abstractNum>
  <w:abstractNum w:abstractNumId="4">
    <w:nsid w:val="6141B5FC"/>
    <w:multiLevelType w:val="singleLevel"/>
    <w:tmpl w:val="6141B5FC"/>
    <w:lvl w:ilvl="0" w:tentative="0">
      <w:start w:val="4"/>
      <w:numFmt w:val="decimal"/>
      <w:suff w:val="nothing"/>
      <w:lvlText w:val="（%1）"/>
      <w:lvlJc w:val="left"/>
    </w:lvl>
  </w:abstractNum>
  <w:abstractNum w:abstractNumId="5">
    <w:nsid w:val="614410DC"/>
    <w:multiLevelType w:val="singleLevel"/>
    <w:tmpl w:val="614410DC"/>
    <w:lvl w:ilvl="0" w:tentative="0">
      <w:start w:val="3"/>
      <w:numFmt w:val="decimal"/>
      <w:suff w:val="nothing"/>
      <w:lvlText w:val="%1."/>
      <w:lvlJc w:val="left"/>
    </w:lvl>
  </w:abstractNum>
  <w:abstractNum w:abstractNumId="6">
    <w:nsid w:val="61444EEF"/>
    <w:multiLevelType w:val="singleLevel"/>
    <w:tmpl w:val="61444EEF"/>
    <w:lvl w:ilvl="0" w:tentative="0">
      <w:start w:val="2"/>
      <w:numFmt w:val="chineseCounting"/>
      <w:suff w:val="nothing"/>
      <w:lvlText w:val="（%1）"/>
      <w:lvlJc w:val="left"/>
    </w:lvl>
  </w:abstractNum>
  <w:abstractNum w:abstractNumId="7">
    <w:nsid w:val="61454691"/>
    <w:multiLevelType w:val="singleLevel"/>
    <w:tmpl w:val="61454691"/>
    <w:lvl w:ilvl="0" w:tentative="0">
      <w:start w:val="2"/>
      <w:numFmt w:val="chineseCounting"/>
      <w:suff w:val="nothing"/>
      <w:lvlText w:val="（%1）"/>
      <w:lvlJc w:val="left"/>
    </w:lvl>
  </w:abstractNum>
  <w:abstractNum w:abstractNumId="8">
    <w:nsid w:val="61454AC6"/>
    <w:multiLevelType w:val="singleLevel"/>
    <w:tmpl w:val="61454AC6"/>
    <w:lvl w:ilvl="0" w:tentative="0">
      <w:start w:val="1"/>
      <w:numFmt w:val="chineseCounting"/>
      <w:suff w:val="nothing"/>
      <w:lvlText w:val="（%1）"/>
      <w:lvlJc w:val="left"/>
    </w:lvl>
  </w:abstractNum>
  <w:abstractNum w:abstractNumId="9">
    <w:nsid w:val="61455745"/>
    <w:multiLevelType w:val="singleLevel"/>
    <w:tmpl w:val="61455745"/>
    <w:lvl w:ilvl="0" w:tentative="0">
      <w:start w:val="1"/>
      <w:numFmt w:val="chineseCounting"/>
      <w:suff w:val="nothing"/>
      <w:lvlText w:val="（%1）"/>
      <w:lvlJc w:val="left"/>
    </w:lvl>
  </w:abstractNum>
  <w:num w:numId="1">
    <w:abstractNumId w:val="1"/>
  </w:num>
  <w:num w:numId="2">
    <w:abstractNumId w:val="2"/>
  </w:num>
  <w:num w:numId="3">
    <w:abstractNumId w:val="3"/>
  </w:num>
  <w:num w:numId="4">
    <w:abstractNumId w:val="4"/>
  </w:num>
  <w:num w:numId="5">
    <w:abstractNumId w:val="0"/>
  </w:num>
  <w:num w:numId="6">
    <w:abstractNumId w:val="5"/>
  </w:num>
  <w:num w:numId="7">
    <w:abstractNumId w:val="6"/>
  </w:num>
  <w:num w:numId="8">
    <w:abstractNumId w:val="8"/>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F1361C"/>
    <w:rsid w:val="000178DD"/>
    <w:rsid w:val="000222C6"/>
    <w:rsid w:val="0002549F"/>
    <w:rsid w:val="000468DB"/>
    <w:rsid w:val="0006487A"/>
    <w:rsid w:val="00065F8F"/>
    <w:rsid w:val="00070A43"/>
    <w:rsid w:val="000768F2"/>
    <w:rsid w:val="000769B3"/>
    <w:rsid w:val="0009184B"/>
    <w:rsid w:val="00094236"/>
    <w:rsid w:val="0009593C"/>
    <w:rsid w:val="00097322"/>
    <w:rsid w:val="000A0DA0"/>
    <w:rsid w:val="000A6A92"/>
    <w:rsid w:val="000B047F"/>
    <w:rsid w:val="000B5923"/>
    <w:rsid w:val="000B5A48"/>
    <w:rsid w:val="000B6FF3"/>
    <w:rsid w:val="000B72D7"/>
    <w:rsid w:val="000C3467"/>
    <w:rsid w:val="000C3CA6"/>
    <w:rsid w:val="000C745C"/>
    <w:rsid w:val="000D1267"/>
    <w:rsid w:val="000D1D50"/>
    <w:rsid w:val="000D5782"/>
    <w:rsid w:val="000E6613"/>
    <w:rsid w:val="000E7119"/>
    <w:rsid w:val="00106490"/>
    <w:rsid w:val="00114E9B"/>
    <w:rsid w:val="00142216"/>
    <w:rsid w:val="00144D6A"/>
    <w:rsid w:val="00145134"/>
    <w:rsid w:val="0014729F"/>
    <w:rsid w:val="00157BAB"/>
    <w:rsid w:val="001654D1"/>
    <w:rsid w:val="00171CF9"/>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43CE4"/>
    <w:rsid w:val="00257FB6"/>
    <w:rsid w:val="00260C38"/>
    <w:rsid w:val="00261290"/>
    <w:rsid w:val="002616C0"/>
    <w:rsid w:val="00265372"/>
    <w:rsid w:val="002662AA"/>
    <w:rsid w:val="002773ED"/>
    <w:rsid w:val="00280496"/>
    <w:rsid w:val="00294DC9"/>
    <w:rsid w:val="00295495"/>
    <w:rsid w:val="002A31DE"/>
    <w:rsid w:val="002B2613"/>
    <w:rsid w:val="002D19B0"/>
    <w:rsid w:val="002D6D05"/>
    <w:rsid w:val="002F1818"/>
    <w:rsid w:val="002F567B"/>
    <w:rsid w:val="003216A9"/>
    <w:rsid w:val="003343EB"/>
    <w:rsid w:val="00335A74"/>
    <w:rsid w:val="0036561B"/>
    <w:rsid w:val="0037013F"/>
    <w:rsid w:val="00380C92"/>
    <w:rsid w:val="003A484F"/>
    <w:rsid w:val="003A4883"/>
    <w:rsid w:val="003B0BE0"/>
    <w:rsid w:val="003B0C1B"/>
    <w:rsid w:val="003B688C"/>
    <w:rsid w:val="003C0291"/>
    <w:rsid w:val="003C39AE"/>
    <w:rsid w:val="003C7A20"/>
    <w:rsid w:val="003C7B60"/>
    <w:rsid w:val="003D0C0F"/>
    <w:rsid w:val="003D1FB2"/>
    <w:rsid w:val="003D66DA"/>
    <w:rsid w:val="003E1310"/>
    <w:rsid w:val="003E6F55"/>
    <w:rsid w:val="00406254"/>
    <w:rsid w:val="00416CD4"/>
    <w:rsid w:val="00420331"/>
    <w:rsid w:val="004223DE"/>
    <w:rsid w:val="00434489"/>
    <w:rsid w:val="00437085"/>
    <w:rsid w:val="00443880"/>
    <w:rsid w:val="004464F4"/>
    <w:rsid w:val="00471401"/>
    <w:rsid w:val="004720D6"/>
    <w:rsid w:val="00473F31"/>
    <w:rsid w:val="00476CBF"/>
    <w:rsid w:val="00481FA6"/>
    <w:rsid w:val="0048263A"/>
    <w:rsid w:val="00487E5D"/>
    <w:rsid w:val="004A711F"/>
    <w:rsid w:val="004B199D"/>
    <w:rsid w:val="004B4690"/>
    <w:rsid w:val="004E0A2D"/>
    <w:rsid w:val="004E206B"/>
    <w:rsid w:val="004E6DF7"/>
    <w:rsid w:val="004F0FBD"/>
    <w:rsid w:val="004F403E"/>
    <w:rsid w:val="00505A47"/>
    <w:rsid w:val="00512FDA"/>
    <w:rsid w:val="00520DA0"/>
    <w:rsid w:val="005664BB"/>
    <w:rsid w:val="00566FFA"/>
    <w:rsid w:val="0057481D"/>
    <w:rsid w:val="00575F0B"/>
    <w:rsid w:val="0058486E"/>
    <w:rsid w:val="00585B33"/>
    <w:rsid w:val="0059014D"/>
    <w:rsid w:val="005933AD"/>
    <w:rsid w:val="005A6441"/>
    <w:rsid w:val="005B3B6E"/>
    <w:rsid w:val="005B5C64"/>
    <w:rsid w:val="005C6BD0"/>
    <w:rsid w:val="005C6C4C"/>
    <w:rsid w:val="005D1C8B"/>
    <w:rsid w:val="005D468D"/>
    <w:rsid w:val="005D5CED"/>
    <w:rsid w:val="005F1A4C"/>
    <w:rsid w:val="00605688"/>
    <w:rsid w:val="006057E9"/>
    <w:rsid w:val="006070AF"/>
    <w:rsid w:val="00607E6C"/>
    <w:rsid w:val="006101B1"/>
    <w:rsid w:val="00614E44"/>
    <w:rsid w:val="00622118"/>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44BB"/>
    <w:rsid w:val="006A5E34"/>
    <w:rsid w:val="006B2422"/>
    <w:rsid w:val="006B2B9A"/>
    <w:rsid w:val="006C1937"/>
    <w:rsid w:val="006D36EF"/>
    <w:rsid w:val="006F020C"/>
    <w:rsid w:val="006F5FA5"/>
    <w:rsid w:val="0070082C"/>
    <w:rsid w:val="007127B7"/>
    <w:rsid w:val="0071798E"/>
    <w:rsid w:val="00727533"/>
    <w:rsid w:val="007353D7"/>
    <w:rsid w:val="007416B6"/>
    <w:rsid w:val="00746F48"/>
    <w:rsid w:val="00750761"/>
    <w:rsid w:val="0075404D"/>
    <w:rsid w:val="0076182A"/>
    <w:rsid w:val="00767B7E"/>
    <w:rsid w:val="007770C3"/>
    <w:rsid w:val="00784D24"/>
    <w:rsid w:val="00785FBA"/>
    <w:rsid w:val="00786E4A"/>
    <w:rsid w:val="007875EB"/>
    <w:rsid w:val="0079426B"/>
    <w:rsid w:val="007A58B0"/>
    <w:rsid w:val="007D1682"/>
    <w:rsid w:val="007D312A"/>
    <w:rsid w:val="007D3F19"/>
    <w:rsid w:val="007E23B0"/>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57B7F"/>
    <w:rsid w:val="00860645"/>
    <w:rsid w:val="00871F71"/>
    <w:rsid w:val="00872FD8"/>
    <w:rsid w:val="00885AF4"/>
    <w:rsid w:val="008939CD"/>
    <w:rsid w:val="008B52D8"/>
    <w:rsid w:val="008B768C"/>
    <w:rsid w:val="008C4DB1"/>
    <w:rsid w:val="008C4EAF"/>
    <w:rsid w:val="008C5176"/>
    <w:rsid w:val="008C7FD0"/>
    <w:rsid w:val="008D4191"/>
    <w:rsid w:val="008D5D24"/>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773C0"/>
    <w:rsid w:val="00A87522"/>
    <w:rsid w:val="00A91760"/>
    <w:rsid w:val="00A92C72"/>
    <w:rsid w:val="00A93B00"/>
    <w:rsid w:val="00A93C21"/>
    <w:rsid w:val="00AB64C9"/>
    <w:rsid w:val="00AC3C6A"/>
    <w:rsid w:val="00AD0F83"/>
    <w:rsid w:val="00AD5620"/>
    <w:rsid w:val="00AD656B"/>
    <w:rsid w:val="00AD7C1B"/>
    <w:rsid w:val="00AE16BA"/>
    <w:rsid w:val="00AE1EBE"/>
    <w:rsid w:val="00AE417D"/>
    <w:rsid w:val="00B03C9D"/>
    <w:rsid w:val="00B060AE"/>
    <w:rsid w:val="00B10517"/>
    <w:rsid w:val="00B14E76"/>
    <w:rsid w:val="00B161B8"/>
    <w:rsid w:val="00B2048C"/>
    <w:rsid w:val="00B310B9"/>
    <w:rsid w:val="00B35934"/>
    <w:rsid w:val="00B35F3F"/>
    <w:rsid w:val="00B36CBB"/>
    <w:rsid w:val="00B425E0"/>
    <w:rsid w:val="00B440AA"/>
    <w:rsid w:val="00B44B70"/>
    <w:rsid w:val="00B4796F"/>
    <w:rsid w:val="00B53C56"/>
    <w:rsid w:val="00B57DAF"/>
    <w:rsid w:val="00B77EA6"/>
    <w:rsid w:val="00B81598"/>
    <w:rsid w:val="00B841F1"/>
    <w:rsid w:val="00B944D6"/>
    <w:rsid w:val="00BA00A3"/>
    <w:rsid w:val="00BB3D20"/>
    <w:rsid w:val="00BB4DF0"/>
    <w:rsid w:val="00BC2239"/>
    <w:rsid w:val="00BC289F"/>
    <w:rsid w:val="00BC2D50"/>
    <w:rsid w:val="00BC5361"/>
    <w:rsid w:val="00BC5460"/>
    <w:rsid w:val="00BC689D"/>
    <w:rsid w:val="00BC6B50"/>
    <w:rsid w:val="00BD0E25"/>
    <w:rsid w:val="00BE7952"/>
    <w:rsid w:val="00BF5BD6"/>
    <w:rsid w:val="00BF5EFB"/>
    <w:rsid w:val="00C03E31"/>
    <w:rsid w:val="00C274FE"/>
    <w:rsid w:val="00C3076E"/>
    <w:rsid w:val="00C30E69"/>
    <w:rsid w:val="00C33E72"/>
    <w:rsid w:val="00C354B2"/>
    <w:rsid w:val="00C35554"/>
    <w:rsid w:val="00C42709"/>
    <w:rsid w:val="00C533CC"/>
    <w:rsid w:val="00C5751C"/>
    <w:rsid w:val="00C61BFC"/>
    <w:rsid w:val="00C62B85"/>
    <w:rsid w:val="00C65438"/>
    <w:rsid w:val="00C70282"/>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06C1"/>
    <w:rsid w:val="00D51276"/>
    <w:rsid w:val="00D7035F"/>
    <w:rsid w:val="00D8564C"/>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A010F"/>
    <w:rsid w:val="00EA054D"/>
    <w:rsid w:val="00ED1B63"/>
    <w:rsid w:val="00ED3C1F"/>
    <w:rsid w:val="00ED4085"/>
    <w:rsid w:val="00ED420E"/>
    <w:rsid w:val="00ED6FBE"/>
    <w:rsid w:val="00EE1793"/>
    <w:rsid w:val="00EE2F57"/>
    <w:rsid w:val="00EF4C34"/>
    <w:rsid w:val="00EF77C6"/>
    <w:rsid w:val="00F03A04"/>
    <w:rsid w:val="00F05438"/>
    <w:rsid w:val="00F12083"/>
    <w:rsid w:val="00F1361C"/>
    <w:rsid w:val="00F156F0"/>
    <w:rsid w:val="00F160C7"/>
    <w:rsid w:val="00F2408F"/>
    <w:rsid w:val="00F240E9"/>
    <w:rsid w:val="00F33EDE"/>
    <w:rsid w:val="00F36D8F"/>
    <w:rsid w:val="00F417B1"/>
    <w:rsid w:val="00F45853"/>
    <w:rsid w:val="00F47775"/>
    <w:rsid w:val="00F602DF"/>
    <w:rsid w:val="00F754A1"/>
    <w:rsid w:val="00F813A2"/>
    <w:rsid w:val="00F81FD9"/>
    <w:rsid w:val="00F841AA"/>
    <w:rsid w:val="00F84A94"/>
    <w:rsid w:val="00F87E96"/>
    <w:rsid w:val="00FA23E8"/>
    <w:rsid w:val="00FD3CC1"/>
    <w:rsid w:val="00FF1564"/>
    <w:rsid w:val="00FF1E02"/>
    <w:rsid w:val="00FF30B4"/>
    <w:rsid w:val="00FF4012"/>
    <w:rsid w:val="04296264"/>
    <w:rsid w:val="0A7F1581"/>
    <w:rsid w:val="0F2B146F"/>
    <w:rsid w:val="102A2B30"/>
    <w:rsid w:val="10C055FF"/>
    <w:rsid w:val="10C868C0"/>
    <w:rsid w:val="125C0708"/>
    <w:rsid w:val="148B3E74"/>
    <w:rsid w:val="154410F5"/>
    <w:rsid w:val="16BB723D"/>
    <w:rsid w:val="184C04C0"/>
    <w:rsid w:val="18EE0BF6"/>
    <w:rsid w:val="19837F11"/>
    <w:rsid w:val="1D84707B"/>
    <w:rsid w:val="1F7268A6"/>
    <w:rsid w:val="240371BF"/>
    <w:rsid w:val="241B3D4C"/>
    <w:rsid w:val="25AD0C5F"/>
    <w:rsid w:val="28CA52F9"/>
    <w:rsid w:val="2913316F"/>
    <w:rsid w:val="29776717"/>
    <w:rsid w:val="29C7514C"/>
    <w:rsid w:val="29FD04D3"/>
    <w:rsid w:val="2A3235C6"/>
    <w:rsid w:val="2BCB36E8"/>
    <w:rsid w:val="319F7F4E"/>
    <w:rsid w:val="3224724F"/>
    <w:rsid w:val="34605FDB"/>
    <w:rsid w:val="3C3F4AE6"/>
    <w:rsid w:val="44835CB9"/>
    <w:rsid w:val="45423E2F"/>
    <w:rsid w:val="45BF15B5"/>
    <w:rsid w:val="46B75371"/>
    <w:rsid w:val="47800E5B"/>
    <w:rsid w:val="489509A3"/>
    <w:rsid w:val="49072075"/>
    <w:rsid w:val="49B436D4"/>
    <w:rsid w:val="4C1235B1"/>
    <w:rsid w:val="4C8B4D21"/>
    <w:rsid w:val="4E154828"/>
    <w:rsid w:val="4ECE2238"/>
    <w:rsid w:val="53614D5A"/>
    <w:rsid w:val="56CE0279"/>
    <w:rsid w:val="57882F2B"/>
    <w:rsid w:val="5DA1152C"/>
    <w:rsid w:val="608D629F"/>
    <w:rsid w:val="61B83FD9"/>
    <w:rsid w:val="64CA712E"/>
    <w:rsid w:val="68534D38"/>
    <w:rsid w:val="68E56825"/>
    <w:rsid w:val="694655C5"/>
    <w:rsid w:val="6A9F107A"/>
    <w:rsid w:val="6AD17625"/>
    <w:rsid w:val="6BCE176C"/>
    <w:rsid w:val="6DC1541F"/>
    <w:rsid w:val="700C7562"/>
    <w:rsid w:val="709C1EB6"/>
    <w:rsid w:val="712C543B"/>
    <w:rsid w:val="72734D90"/>
    <w:rsid w:val="730E777E"/>
    <w:rsid w:val="76EA3731"/>
    <w:rsid w:val="78353345"/>
    <w:rsid w:val="79037570"/>
    <w:rsid w:val="7A784517"/>
    <w:rsid w:val="7BD01932"/>
    <w:rsid w:val="7DAB1572"/>
    <w:rsid w:val="7E8678A1"/>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2">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5">
    <w:name w:val="Body Text"/>
    <w:basedOn w:val="1"/>
    <w:link w:val="26"/>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9"/>
    <w:unhideWhenUsed/>
    <w:qFormat/>
    <w:uiPriority w:val="99"/>
    <w:rPr>
      <w:sz w:val="18"/>
      <w:szCs w:val="18"/>
    </w:rPr>
  </w:style>
  <w:style w:type="paragraph" w:styleId="8">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3">
    <w:name w:val="Strong"/>
    <w:basedOn w:val="12"/>
    <w:qFormat/>
    <w:uiPriority w:val="22"/>
    <w:rPr>
      <w:b/>
    </w:rPr>
  </w:style>
  <w:style w:type="character" w:styleId="14">
    <w:name w:val="page number"/>
    <w:unhideWhenUsed/>
    <w:qFormat/>
    <w:uiPriority w:val="0"/>
    <w:rPr>
      <w:rFonts w:cs="Times New Roman"/>
    </w:rPr>
  </w:style>
  <w:style w:type="character" w:styleId="15">
    <w:name w:val="Hyperlink"/>
    <w:basedOn w:val="12"/>
    <w:unhideWhenUsed/>
    <w:qFormat/>
    <w:uiPriority w:val="99"/>
    <w:rPr>
      <w:color w:val="0000FF"/>
      <w:u w:val="single"/>
    </w:rPr>
  </w:style>
  <w:style w:type="paragraph" w:customStyle="1" w:styleId="1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8">
    <w:name w:val="列出段落1"/>
    <w:basedOn w:val="1"/>
    <w:qFormat/>
    <w:uiPriority w:val="34"/>
    <w:pPr>
      <w:ind w:firstLine="420" w:firstLineChars="200"/>
    </w:pPr>
  </w:style>
  <w:style w:type="paragraph" w:customStyle="1" w:styleId="19">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0">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character" w:customStyle="1" w:styleId="21">
    <w:name w:val="Header Char"/>
    <w:basedOn w:val="12"/>
    <w:semiHidden/>
    <w:qFormat/>
    <w:uiPriority w:val="99"/>
    <w:rPr>
      <w:rFonts w:ascii="Times New Roman" w:hAnsi="Times New Roman"/>
      <w:sz w:val="18"/>
      <w:szCs w:val="18"/>
    </w:rPr>
  </w:style>
  <w:style w:type="character" w:customStyle="1" w:styleId="22">
    <w:name w:val="页眉 Char"/>
    <w:link w:val="9"/>
    <w:semiHidden/>
    <w:qFormat/>
    <w:locked/>
    <w:uiPriority w:val="99"/>
    <w:rPr>
      <w:sz w:val="18"/>
    </w:rPr>
  </w:style>
  <w:style w:type="character" w:customStyle="1" w:styleId="23">
    <w:name w:val="Footer Char"/>
    <w:basedOn w:val="12"/>
    <w:semiHidden/>
    <w:qFormat/>
    <w:uiPriority w:val="99"/>
    <w:rPr>
      <w:rFonts w:ascii="Times New Roman" w:hAnsi="Times New Roman"/>
      <w:sz w:val="18"/>
      <w:szCs w:val="18"/>
    </w:rPr>
  </w:style>
  <w:style w:type="character" w:customStyle="1" w:styleId="24">
    <w:name w:val="页脚 Char"/>
    <w:link w:val="8"/>
    <w:qFormat/>
    <w:locked/>
    <w:uiPriority w:val="99"/>
    <w:rPr>
      <w:sz w:val="18"/>
    </w:rPr>
  </w:style>
  <w:style w:type="character" w:customStyle="1" w:styleId="25">
    <w:name w:val="Body Text Char"/>
    <w:basedOn w:val="12"/>
    <w:semiHidden/>
    <w:qFormat/>
    <w:uiPriority w:val="99"/>
    <w:rPr>
      <w:rFonts w:ascii="Times New Roman" w:hAnsi="Times New Roman"/>
      <w:szCs w:val="24"/>
    </w:rPr>
  </w:style>
  <w:style w:type="character" w:customStyle="1" w:styleId="26">
    <w:name w:val="正文文本 Char"/>
    <w:link w:val="5"/>
    <w:qFormat/>
    <w:locked/>
    <w:uiPriority w:val="99"/>
    <w:rPr>
      <w:rFonts w:ascii="仿宋_GB2312" w:hAnsi="Times New Roman" w:eastAsia="仿宋_GB2312"/>
      <w:sz w:val="24"/>
    </w:rPr>
  </w:style>
  <w:style w:type="character" w:customStyle="1" w:styleId="27">
    <w:name w:val="标题 1 Char"/>
    <w:basedOn w:val="12"/>
    <w:link w:val="2"/>
    <w:qFormat/>
    <w:uiPriority w:val="9"/>
    <w:rPr>
      <w:rFonts w:ascii="Times New Roman" w:hAnsi="Times New Roman"/>
      <w:b/>
      <w:bCs/>
      <w:kern w:val="44"/>
      <w:sz w:val="44"/>
      <w:szCs w:val="44"/>
    </w:rPr>
  </w:style>
  <w:style w:type="character" w:customStyle="1" w:styleId="28">
    <w:name w:val="标题 2 Char"/>
    <w:basedOn w:val="12"/>
    <w:link w:val="3"/>
    <w:qFormat/>
    <w:uiPriority w:val="9"/>
    <w:rPr>
      <w:rFonts w:ascii="Cambria" w:hAnsi="Cambria" w:eastAsia="宋体" w:cs="黑体"/>
      <w:b/>
      <w:bCs/>
      <w:kern w:val="2"/>
      <w:sz w:val="32"/>
      <w:szCs w:val="32"/>
    </w:rPr>
  </w:style>
  <w:style w:type="character" w:customStyle="1" w:styleId="29">
    <w:name w:val="批注框文本 Char"/>
    <w:basedOn w:val="12"/>
    <w:link w:val="7"/>
    <w:semiHidden/>
    <w:qFormat/>
    <w:uiPriority w:val="99"/>
    <w:rPr>
      <w:rFonts w:ascii="Times New Roman" w:hAnsi="Times New Roman"/>
      <w:kern w:val="2"/>
      <w:sz w:val="18"/>
      <w:szCs w:val="18"/>
    </w:rPr>
  </w:style>
  <w:style w:type="character" w:customStyle="1" w:styleId="30">
    <w:name w:val="标题 3 Char"/>
    <w:basedOn w:val="12"/>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30</Pages>
  <Words>2815</Words>
  <Characters>16047</Characters>
  <Lines>133</Lines>
  <Paragraphs>37</Paragraphs>
  <TotalTime>1</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2020-09-16T07:42:00Z</dcterms:created>
  <dc:creator>曹颖</dc:creator>
  <cp:lastModifiedBy>袁冬梅</cp:lastModifiedBy>
  <cp:lastPrinted>2020-09-23T02:46:00Z</cp:lastPrinted>
  <dcterms:modified xsi:type="dcterms:W3CDTF">2021-09-23T00:42:22Z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